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B0071" w14:textId="473E06D4" w:rsidR="00817151" w:rsidRDefault="00817151" w:rsidP="00B70DD9">
      <w:pPr>
        <w:framePr w:w="7301" w:h="1486" w:hRule="exact" w:hSpace="187" w:wrap="notBeside" w:vAnchor="text" w:hAnchor="page" w:x="3500" w:y="419"/>
        <w:shd w:val="clear" w:color="auto" w:fill="C4BC96" w:themeFill="background2" w:themeFillShade="BF"/>
        <w:spacing w:line="240" w:lineRule="auto"/>
        <w:ind w:firstLine="720"/>
        <w:rPr>
          <w:rFonts w:ascii="Times New Roman" w:hAnsi="Times New Roman" w:cs="Times New Roman"/>
          <w:sz w:val="16"/>
        </w:rPr>
      </w:pPr>
    </w:p>
    <w:p w14:paraId="6BFCCE22" w14:textId="77777777" w:rsidR="00E46DA5" w:rsidRPr="00F946D2" w:rsidRDefault="00CE2C63" w:rsidP="00B70DD9">
      <w:pPr>
        <w:framePr w:w="7301" w:h="1486" w:hRule="exact" w:hSpace="187" w:wrap="notBeside" w:vAnchor="text" w:hAnchor="page" w:x="3500" w:y="419"/>
        <w:shd w:val="clear" w:color="auto" w:fill="C4BC96" w:themeFill="background2" w:themeFillShade="BF"/>
        <w:spacing w:line="240" w:lineRule="auto"/>
        <w:ind w:firstLine="720"/>
        <w:rPr>
          <w:rFonts w:ascii="Times New Roman" w:hAnsi="Times New Roman" w:cs="Times New Roman"/>
          <w:sz w:val="16"/>
        </w:rPr>
      </w:pPr>
      <w:r w:rsidRPr="00F946D2">
        <w:rPr>
          <w:rFonts w:ascii="Times New Roman" w:hAnsi="Times New Roman" w:cs="Times New Roman"/>
          <w:sz w:val="16"/>
        </w:rPr>
        <w:tab/>
      </w:r>
    </w:p>
    <w:p w14:paraId="5C7CDB72" w14:textId="77777777" w:rsidR="000A2E37" w:rsidRPr="00F946D2" w:rsidRDefault="000A2E37" w:rsidP="00B70DD9">
      <w:pPr>
        <w:framePr w:w="7301" w:h="1486" w:hRule="exact" w:hSpace="187" w:wrap="notBeside" w:vAnchor="text" w:hAnchor="page" w:x="3500" w:y="419"/>
        <w:shd w:val="clear" w:color="auto" w:fill="C4BC96" w:themeFill="background2" w:themeFillShade="BF"/>
        <w:spacing w:line="300" w:lineRule="auto"/>
        <w:ind w:firstLine="720"/>
        <w:rPr>
          <w:rFonts w:ascii="Times New Roman" w:hAnsi="Times New Roman" w:cs="Times New Roman"/>
          <w:sz w:val="36"/>
        </w:rPr>
      </w:pPr>
    </w:p>
    <w:p w14:paraId="3CFB903D" w14:textId="77777777" w:rsidR="005A7DD7" w:rsidRDefault="00312A8E" w:rsidP="00B70DD9">
      <w:pPr>
        <w:framePr w:w="7301" w:h="1486" w:hRule="exact" w:hSpace="187" w:wrap="notBeside" w:vAnchor="text" w:hAnchor="page" w:x="3500" w:y="419"/>
        <w:shd w:val="clear" w:color="auto" w:fill="C4BC96" w:themeFill="background2" w:themeFillShade="BF"/>
        <w:spacing w:line="300" w:lineRule="auto"/>
        <w:rPr>
          <w:rFonts w:ascii="Times New Roman" w:hAnsi="Times New Roman" w:cs="Times New Roman"/>
          <w:b/>
          <w:sz w:val="24"/>
          <w:szCs w:val="24"/>
        </w:rPr>
      </w:pPr>
      <w:r w:rsidRPr="00F946D2">
        <w:rPr>
          <w:rFonts w:ascii="Times New Roman" w:hAnsi="Times New Roman" w:cs="Times New Roman"/>
          <w:b/>
          <w:sz w:val="24"/>
          <w:szCs w:val="24"/>
        </w:rPr>
        <w:tab/>
      </w:r>
    </w:p>
    <w:p w14:paraId="19D93640" w14:textId="77777777" w:rsidR="000A2E37" w:rsidRPr="00F946D2" w:rsidRDefault="00E11B89" w:rsidP="005A7DD7">
      <w:pPr>
        <w:framePr w:w="7301" w:h="1486" w:hRule="exact" w:hSpace="187" w:wrap="notBeside" w:vAnchor="text" w:hAnchor="page" w:x="3500" w:y="419"/>
        <w:shd w:val="clear" w:color="auto" w:fill="C4BC96" w:themeFill="background2" w:themeFillShade="BF"/>
        <w:spacing w:line="300" w:lineRule="auto"/>
        <w:jc w:val="center"/>
        <w:rPr>
          <w:rFonts w:ascii="Times New Roman" w:hAnsi="Times New Roman" w:cs="Times New Roman"/>
          <w:sz w:val="18"/>
        </w:rPr>
      </w:pPr>
      <w:r w:rsidRPr="00F946D2">
        <w:rPr>
          <w:rFonts w:ascii="Times New Roman" w:hAnsi="Times New Roman" w:cs="Times New Roman"/>
          <w:b/>
          <w:sz w:val="24"/>
          <w:szCs w:val="24"/>
        </w:rPr>
        <w:t xml:space="preserve">Journal home page: </w:t>
      </w:r>
      <w:hyperlink r:id="rId8" w:history="1">
        <w:r w:rsidR="00F651A7" w:rsidRPr="00F946D2">
          <w:rPr>
            <w:rStyle w:val="Hyperlink"/>
            <w:rFonts w:ascii="Times New Roman" w:hAnsi="Times New Roman" w:cs="Times New Roman"/>
            <w:color w:val="auto"/>
            <w:sz w:val="24"/>
            <w:szCs w:val="24"/>
          </w:rPr>
          <w:t>http://www.ajptr.com/</w:t>
        </w:r>
      </w:hyperlink>
    </w:p>
    <w:p w14:paraId="3D02F0AB" w14:textId="3198DD6A" w:rsidR="006F7155" w:rsidRPr="00F946D2" w:rsidRDefault="003C5704" w:rsidP="007D49EE">
      <w:pPr>
        <w:shd w:val="clear" w:color="auto" w:fill="FFFFFF" w:themeFill="background1"/>
        <w:spacing w:line="240" w:lineRule="auto"/>
        <w:rPr>
          <w:rFonts w:ascii="Times New Roman" w:hAnsi="Times New Roman" w:cs="Times New Roman"/>
        </w:rPr>
      </w:pPr>
      <w:r>
        <w:rPr>
          <w:rFonts w:ascii="Times New Roman" w:hAnsi="Times New Roman" w:cs="Times New Roman"/>
          <w:noProof/>
          <w:sz w:val="36"/>
          <w:lang w:bidi="gu-IN"/>
        </w:rPr>
        <mc:AlternateContent>
          <mc:Choice Requires="wps">
            <w:drawing>
              <wp:anchor distT="0" distB="0" distL="114300" distR="114300" simplePos="0" relativeHeight="251657728" behindDoc="0" locked="0" layoutInCell="1" allowOverlap="1" wp14:anchorId="5A496F0E" wp14:editId="5CE1DBC4">
                <wp:simplePos x="0" y="0"/>
                <wp:positionH relativeFrom="column">
                  <wp:posOffset>1400175</wp:posOffset>
                </wp:positionH>
                <wp:positionV relativeFrom="paragraph">
                  <wp:posOffset>337185</wp:posOffset>
                </wp:positionV>
                <wp:extent cx="4648200" cy="466725"/>
                <wp:effectExtent l="0" t="0" r="0"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48200" cy="4667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503FC0" w14:textId="77777777" w:rsidR="00190035" w:rsidRPr="00AD13B0" w:rsidRDefault="00190035" w:rsidP="00D27AC0">
                            <w:pPr>
                              <w:pStyle w:val="NormalWeb"/>
                              <w:spacing w:before="0" w:beforeAutospacing="0" w:after="0" w:afterAutospacing="0"/>
                              <w:jc w:val="center"/>
                              <w:rPr>
                                <w:sz w:val="14"/>
                              </w:rPr>
                            </w:pPr>
                            <w:r w:rsidRPr="00AD13B0">
                              <w:rPr>
                                <w:shadow/>
                                <w:color w:val="FF0000"/>
                                <w:sz w:val="40"/>
                                <w:szCs w:val="72"/>
                                <w14:shadow w14:blurRad="0" w14:dist="35941" w14:dir="2700000" w14:sx="100000" w14:sy="100000" w14:kx="0" w14:ky="0" w14:algn="ctr">
                                  <w14:schemeClr w14:val="accent1">
                                    <w14:alpha w14:val="50000"/>
                                    <w14:lumMod w14:val="100000"/>
                                    <w14:lumOff w14:val="0"/>
                                  </w14:schemeClr>
                                </w14:shadow>
                                <w14:textFill>
                                  <w14:gradFill>
                                    <w14:gsLst>
                                      <w14:gs w14:pos="0">
                                        <w14:srgbClr w14:val="FF0000"/>
                                      </w14:gs>
                                      <w14:gs w14:pos="100000">
                                        <w14:srgbClr w14:val="760000">
                                          <w14:shade w14:val="46275"/>
                                        </w14:srgbClr>
                                      </w14:gs>
                                    </w14:gsLst>
                                    <w14:lin w14:ang="5400000" w14:scaled="1"/>
                                  </w14:gradFill>
                                </w14:textFill>
                              </w:rPr>
                              <w:t xml:space="preserve">AMERICAN JOURNAL OF </w:t>
                            </w:r>
                          </w:p>
                          <w:p w14:paraId="55AA7B8B" w14:textId="77777777" w:rsidR="00190035" w:rsidRPr="00AD13B0" w:rsidRDefault="00190035" w:rsidP="00D27AC0">
                            <w:pPr>
                              <w:pStyle w:val="NormalWeb"/>
                              <w:spacing w:before="0" w:beforeAutospacing="0" w:after="0" w:afterAutospacing="0"/>
                              <w:jc w:val="center"/>
                              <w:rPr>
                                <w:sz w:val="14"/>
                              </w:rPr>
                            </w:pPr>
                            <w:r w:rsidRPr="00AD13B0">
                              <w:rPr>
                                <w:shadow/>
                                <w:color w:val="FF0000"/>
                                <w:sz w:val="40"/>
                                <w:szCs w:val="72"/>
                                <w14:shadow w14:blurRad="0" w14:dist="35941" w14:dir="2700000" w14:sx="100000" w14:sy="100000" w14:kx="0" w14:ky="0" w14:algn="ctr">
                                  <w14:schemeClr w14:val="accent1">
                                    <w14:alpha w14:val="50000"/>
                                    <w14:lumMod w14:val="100000"/>
                                    <w14:lumOff w14:val="0"/>
                                  </w14:schemeClr>
                                </w14:shadow>
                                <w14:textFill>
                                  <w14:gradFill>
                                    <w14:gsLst>
                                      <w14:gs w14:pos="0">
                                        <w14:srgbClr w14:val="FF0000"/>
                                      </w14:gs>
                                      <w14:gs w14:pos="100000">
                                        <w14:srgbClr w14:val="760000">
                                          <w14:shade w14:val="46275"/>
                                        </w14:srgbClr>
                                      </w14:gs>
                                    </w14:gsLst>
                                    <w14:lin w14:ang="5400000" w14:scaled="1"/>
                                  </w14:gradFill>
                                </w14:textFill>
                              </w:rPr>
                              <w:t>PHARMTECH RESEARCH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496F0E" id="_x0000_t202" coordsize="21600,21600" o:spt="202" path="m,l,21600r21600,l21600,xe">
                <v:stroke joinstyle="miter"/>
                <v:path gradientshapeok="t" o:connecttype="rect"/>
              </v:shapetype>
              <v:shape id="WordArt 1" o:spid="_x0000_s1026" type="#_x0000_t202" style="position:absolute;left:0;text-align:left;margin-left:110.25pt;margin-top:26.55pt;width:366pt;height:3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" filled="f" stroked="f">
                <v:stroke joinstyle="round"/>
                <o:lock v:ext="edit" shapetype="t"/>
                <v:textbox style="mso-fit-shape-to-text:t">
                  <w:txbxContent>
                    <w:p w14:paraId="44503FC0" w14:textId="77777777" w:rsidR="00190035" w:rsidRPr="00AD13B0" w:rsidRDefault="00190035" w:rsidP="00D27AC0">
                      <w:pPr>
                        <w:pStyle w:val="NormalWeb"/>
                        <w:spacing w:before="0" w:beforeAutospacing="0" w:after="0" w:afterAutospacing="0"/>
                        <w:jc w:val="center"/>
                        <w:rPr>
                          <w:sz w:val="14"/>
                        </w:rPr>
                      </w:pPr>
                      <w:r w:rsidRPr="00AD13B0">
                        <w:rPr>
                          <w:shadow/>
                          <w:color w:val="FF0000"/>
                          <w:sz w:val="40"/>
                          <w:szCs w:val="72"/>
                          <w14:shadow w14:blurRad="0" w14:dist="35941" w14:dir="2700000" w14:sx="100000" w14:sy="100000" w14:kx="0" w14:ky="0" w14:algn="ctr">
                            <w14:schemeClr w14:val="accent1">
                              <w14:alpha w14:val="50000"/>
                              <w14:lumMod w14:val="100000"/>
                              <w14:lumOff w14:val="0"/>
                            </w14:schemeClr>
                          </w14:shadow>
                          <w14:textFill>
                            <w14:gradFill>
                              <w14:gsLst>
                                <w14:gs w14:pos="0">
                                  <w14:srgbClr w14:val="FF0000"/>
                                </w14:gs>
                                <w14:gs w14:pos="100000">
                                  <w14:srgbClr w14:val="760000">
                                    <w14:shade w14:val="46275"/>
                                  </w14:srgbClr>
                                </w14:gs>
                              </w14:gsLst>
                              <w14:lin w14:ang="5400000" w14:scaled="1"/>
                            </w14:gradFill>
                          </w14:textFill>
                        </w:rPr>
                        <w:t xml:space="preserve">AMERICAN JOURNAL OF </w:t>
                      </w:r>
                    </w:p>
                    <w:p w14:paraId="55AA7B8B" w14:textId="77777777" w:rsidR="00190035" w:rsidRPr="00AD13B0" w:rsidRDefault="00190035" w:rsidP="00D27AC0">
                      <w:pPr>
                        <w:pStyle w:val="NormalWeb"/>
                        <w:spacing w:before="0" w:beforeAutospacing="0" w:after="0" w:afterAutospacing="0"/>
                        <w:jc w:val="center"/>
                        <w:rPr>
                          <w:sz w:val="14"/>
                        </w:rPr>
                      </w:pPr>
                      <w:r w:rsidRPr="00AD13B0">
                        <w:rPr>
                          <w:shadow/>
                          <w:color w:val="FF0000"/>
                          <w:sz w:val="40"/>
                          <w:szCs w:val="72"/>
                          <w14:shadow w14:blurRad="0" w14:dist="35941" w14:dir="2700000" w14:sx="100000" w14:sy="100000" w14:kx="0" w14:ky="0" w14:algn="ctr">
                            <w14:schemeClr w14:val="accent1">
                              <w14:alpha w14:val="50000"/>
                              <w14:lumMod w14:val="100000"/>
                              <w14:lumOff w14:val="0"/>
                            </w14:schemeClr>
                          </w14:shadow>
                          <w14:textFill>
                            <w14:gradFill>
                              <w14:gsLst>
                                <w14:gs w14:pos="0">
                                  <w14:srgbClr w14:val="FF0000"/>
                                </w14:gs>
                                <w14:gs w14:pos="100000">
                                  <w14:srgbClr w14:val="760000">
                                    <w14:shade w14:val="46275"/>
                                  </w14:srgbClr>
                                </w14:gs>
                              </w14:gsLst>
                              <w14:lin w14:ang="5400000" w14:scaled="1"/>
                            </w14:gradFill>
                          </w14:textFill>
                        </w:rPr>
                        <w:t>PHARMTECH RESEARCH</w:t>
                      </w:r>
                    </w:p>
                  </w:txbxContent>
                </v:textbox>
              </v:shape>
            </w:pict>
          </mc:Fallback>
        </mc:AlternateContent>
      </w:r>
      <w:r w:rsidR="0026499A" w:rsidRPr="00F946D2">
        <w:rPr>
          <w:rFonts w:ascii="Times New Roman" w:hAnsi="Times New Roman" w:cs="Times New Roman"/>
          <w:b/>
          <w:bCs/>
          <w:i/>
          <w:noProof/>
          <w:sz w:val="24"/>
          <w:szCs w:val="24"/>
          <w:lang w:bidi="gu-IN"/>
        </w:rPr>
        <w:drawing>
          <wp:anchor distT="0" distB="0" distL="114300" distR="114300" simplePos="0" relativeHeight="251656704" behindDoc="0" locked="0" layoutInCell="1" allowOverlap="1" wp14:anchorId="1489D6BC" wp14:editId="06FFB767">
            <wp:simplePos x="0" y="0"/>
            <wp:positionH relativeFrom="column">
              <wp:posOffset>82845</wp:posOffset>
            </wp:positionH>
            <wp:positionV relativeFrom="paragraph">
              <wp:posOffset>221158</wp:posOffset>
            </wp:positionV>
            <wp:extent cx="1065471" cy="956930"/>
            <wp:effectExtent l="19050" t="0" r="1329" b="0"/>
            <wp:wrapNone/>
            <wp:docPr id="2" name="Picture 3" descr="C:\Documents and Settings\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esktop\logo.png"/>
                    <pic:cNvPicPr>
                      <a:picLocks noChangeAspect="1" noChangeArrowheads="1"/>
                    </pic:cNvPicPr>
                  </pic:nvPicPr>
                  <pic:blipFill>
                    <a:blip r:embed="rId9" cstate="print"/>
                    <a:srcRect/>
                    <a:stretch>
                      <a:fillRect/>
                    </a:stretch>
                  </pic:blipFill>
                  <pic:spPr bwMode="auto">
                    <a:xfrm>
                      <a:off x="0" y="0"/>
                      <a:ext cx="1065471" cy="956930"/>
                    </a:xfrm>
                    <a:prstGeom prst="rect">
                      <a:avLst/>
                    </a:prstGeom>
                    <a:solidFill>
                      <a:schemeClr val="tx1"/>
                    </a:solidFill>
                    <a:ln w="9525">
                      <a:noFill/>
                      <a:miter lim="800000"/>
                      <a:headEnd/>
                      <a:tailEnd/>
                    </a:ln>
                  </pic:spPr>
                </pic:pic>
              </a:graphicData>
            </a:graphic>
          </wp:anchor>
        </w:drawing>
      </w:r>
      <w:r w:rsidR="00000000">
        <w:rPr>
          <w:rFonts w:ascii="Times New Roman" w:hAnsi="Times New Roman" w:cs="Times New Roman"/>
          <w:b/>
          <w:bCs/>
          <w:i/>
          <w:sz w:val="24"/>
          <w:szCs w:val="24"/>
        </w:rPr>
        <w:pict w14:anchorId="1B2B9A60">
          <v:rect id="_x0000_i1025" style="width:468pt;height:1.7pt" o:hrstd="t" o:hrnoshade="t" o:hr="t" fillcolor="black [3213]" stroked="f"/>
        </w:pict>
      </w:r>
    </w:p>
    <w:p w14:paraId="34D7AB89" w14:textId="77777777" w:rsidR="004666CF" w:rsidRPr="00F946D2" w:rsidRDefault="00000000" w:rsidP="007D49EE">
      <w:pPr>
        <w:spacing w:line="240" w:lineRule="auto"/>
        <w:rPr>
          <w:rFonts w:ascii="Times New Roman" w:hAnsi="Times New Roman" w:cs="Times New Roman"/>
          <w:b/>
          <w:bCs/>
          <w:i/>
          <w:sz w:val="24"/>
          <w:szCs w:val="24"/>
        </w:rPr>
      </w:pPr>
      <w:r>
        <w:rPr>
          <w:rFonts w:ascii="Times New Roman" w:hAnsi="Times New Roman" w:cs="Times New Roman"/>
          <w:b/>
          <w:bCs/>
          <w:i/>
          <w:sz w:val="24"/>
          <w:szCs w:val="24"/>
        </w:rPr>
        <w:pict w14:anchorId="72CE11F0">
          <v:rect id="_x0000_i1026" style="width:468pt;height:1.7pt" o:hrstd="t" o:hrnoshade="t" o:hr="t" fillcolor="black [3213]" stroked="f"/>
        </w:pic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firstRow="1" w:lastRow="0" w:firstColumn="1" w:lastColumn="0" w:noHBand="0" w:noVBand="1"/>
      </w:tblPr>
      <w:tblGrid>
        <w:gridCol w:w="9576"/>
      </w:tblGrid>
      <w:tr w:rsidR="00AA02A3" w:rsidRPr="00F946D2" w14:paraId="7C7C4482" w14:textId="77777777" w:rsidTr="00C32AC0">
        <w:trPr>
          <w:trHeight w:val="1278"/>
          <w:jc w:val="center"/>
        </w:trPr>
        <w:tc>
          <w:tcPr>
            <w:tcW w:w="9576" w:type="dxa"/>
            <w:shd w:val="clear" w:color="auto" w:fill="F2DBDB" w:themeFill="accent2" w:themeFillTint="33"/>
          </w:tcPr>
          <w:p w14:paraId="25E89F89" w14:textId="77777777" w:rsidR="00F05C95" w:rsidRPr="00DF6F52" w:rsidRDefault="00F05C95" w:rsidP="00F05C95">
            <w:pPr>
              <w:jc w:val="center"/>
              <w:rPr>
                <w:b/>
                <w:bCs/>
                <w:sz w:val="32"/>
                <w:szCs w:val="32"/>
              </w:rPr>
            </w:pPr>
            <w:r w:rsidRPr="00DF6F52">
              <w:rPr>
                <w:b/>
                <w:bCs/>
                <w:sz w:val="32"/>
                <w:szCs w:val="32"/>
              </w:rPr>
              <w:t>Peptic Ulcer Disease: Mechanisms of Pathogenesis and Insights into Herbal versus Synthetic Treatments</w:t>
            </w:r>
          </w:p>
          <w:p w14:paraId="54A9F366" w14:textId="77777777" w:rsidR="00DF6F52" w:rsidRDefault="00DF6F52" w:rsidP="00F05C95">
            <w:pPr>
              <w:jc w:val="center"/>
              <w:rPr>
                <w:b/>
                <w:bCs/>
                <w:sz w:val="24"/>
                <w:szCs w:val="24"/>
              </w:rPr>
            </w:pPr>
          </w:p>
          <w:p w14:paraId="683D2428" w14:textId="77777777" w:rsidR="00F05C95" w:rsidRPr="00732737" w:rsidRDefault="00F05C95" w:rsidP="00F05C95">
            <w:pPr>
              <w:jc w:val="center"/>
              <w:rPr>
                <w:b/>
                <w:bCs/>
                <w:sz w:val="24"/>
                <w:szCs w:val="24"/>
                <w:vertAlign w:val="superscript"/>
                <w:lang w:val="fi-FI"/>
              </w:rPr>
            </w:pPr>
            <w:r w:rsidRPr="00732737">
              <w:rPr>
                <w:b/>
                <w:bCs/>
                <w:sz w:val="24"/>
                <w:szCs w:val="24"/>
                <w:lang w:val="fi-FI"/>
              </w:rPr>
              <w:t>Farmaan</w:t>
            </w:r>
            <w:r w:rsidRPr="00732737">
              <w:rPr>
                <w:b/>
                <w:bCs/>
                <w:sz w:val="24"/>
                <w:szCs w:val="24"/>
                <w:vertAlign w:val="superscript"/>
                <w:lang w:val="fi-FI"/>
              </w:rPr>
              <w:t>1</w:t>
            </w:r>
            <w:r w:rsidRPr="00732737">
              <w:rPr>
                <w:b/>
                <w:bCs/>
                <w:sz w:val="24"/>
                <w:szCs w:val="24"/>
                <w:lang w:val="fi-FI"/>
              </w:rPr>
              <w:t>, Neha Chauhan</w:t>
            </w:r>
            <w:r w:rsidRPr="00732737">
              <w:rPr>
                <w:b/>
                <w:bCs/>
                <w:sz w:val="24"/>
                <w:szCs w:val="24"/>
                <w:vertAlign w:val="superscript"/>
                <w:lang w:val="fi-FI"/>
              </w:rPr>
              <w:t>2</w:t>
            </w:r>
            <w:r>
              <w:rPr>
                <w:b/>
                <w:bCs/>
                <w:sz w:val="24"/>
                <w:szCs w:val="24"/>
                <w:vertAlign w:val="superscript"/>
                <w:lang w:val="fi-FI"/>
              </w:rPr>
              <w:t>*</w:t>
            </w:r>
            <w:r w:rsidRPr="00732737">
              <w:rPr>
                <w:b/>
                <w:bCs/>
                <w:sz w:val="24"/>
                <w:szCs w:val="24"/>
                <w:lang w:val="fi-FI"/>
              </w:rPr>
              <w:t>, Rajkiran</w:t>
            </w:r>
            <w:r w:rsidRPr="00732737">
              <w:rPr>
                <w:b/>
                <w:bCs/>
                <w:sz w:val="24"/>
                <w:szCs w:val="24"/>
                <w:vertAlign w:val="superscript"/>
                <w:lang w:val="fi-FI"/>
              </w:rPr>
              <w:t>3</w:t>
            </w:r>
            <w:r w:rsidRPr="00732737">
              <w:rPr>
                <w:b/>
                <w:bCs/>
                <w:sz w:val="24"/>
                <w:szCs w:val="24"/>
                <w:lang w:val="fi-FI"/>
              </w:rPr>
              <w:t>,  Ashutosh Upadhayay</w:t>
            </w:r>
            <w:r>
              <w:rPr>
                <w:b/>
                <w:bCs/>
                <w:sz w:val="24"/>
                <w:szCs w:val="24"/>
                <w:vertAlign w:val="superscript"/>
                <w:lang w:val="fi-FI"/>
              </w:rPr>
              <w:t>4</w:t>
            </w:r>
          </w:p>
          <w:p w14:paraId="0CA10720" w14:textId="16EB6613" w:rsidR="00F05C95" w:rsidRPr="00DF6F52" w:rsidRDefault="00F05C95" w:rsidP="00F05C95">
            <w:pPr>
              <w:jc w:val="center"/>
              <w:rPr>
                <w:i/>
                <w:iCs/>
                <w:sz w:val="24"/>
                <w:szCs w:val="24"/>
              </w:rPr>
            </w:pPr>
            <w:r w:rsidRPr="00DF6F52">
              <w:rPr>
                <w:i/>
                <w:iCs/>
                <w:sz w:val="24"/>
                <w:szCs w:val="24"/>
              </w:rPr>
              <w:t>1</w:t>
            </w:r>
            <w:r w:rsidR="00DF6F52" w:rsidRPr="00DF6F52">
              <w:rPr>
                <w:i/>
                <w:iCs/>
                <w:sz w:val="24"/>
                <w:szCs w:val="24"/>
              </w:rPr>
              <w:t>.</w:t>
            </w:r>
            <w:r w:rsidRPr="00DF6F52">
              <w:rPr>
                <w:i/>
                <w:iCs/>
                <w:sz w:val="24"/>
                <w:szCs w:val="24"/>
              </w:rPr>
              <w:t>M.Pharm scholar, MVN University, Palwal, NH-2 Delhi Agra Highway, NCR, Aurangabad, Haryana, 121105</w:t>
            </w:r>
          </w:p>
          <w:p w14:paraId="189AFC04" w14:textId="29B127BC" w:rsidR="00F05C95" w:rsidRPr="00DF6F52" w:rsidRDefault="00F05C95" w:rsidP="00F05C95">
            <w:pPr>
              <w:jc w:val="center"/>
              <w:rPr>
                <w:i/>
                <w:iCs/>
                <w:sz w:val="24"/>
                <w:szCs w:val="24"/>
              </w:rPr>
            </w:pPr>
            <w:r w:rsidRPr="00DF6F52">
              <w:rPr>
                <w:i/>
                <w:iCs/>
                <w:sz w:val="24"/>
                <w:szCs w:val="24"/>
              </w:rPr>
              <w:t xml:space="preserve"> 2</w:t>
            </w:r>
            <w:r w:rsidR="00DF6F52" w:rsidRPr="00DF6F52">
              <w:rPr>
                <w:i/>
                <w:iCs/>
                <w:sz w:val="24"/>
                <w:szCs w:val="24"/>
              </w:rPr>
              <w:t xml:space="preserve">. </w:t>
            </w:r>
            <w:r w:rsidRPr="00DF6F52">
              <w:rPr>
                <w:i/>
                <w:iCs/>
                <w:sz w:val="24"/>
                <w:szCs w:val="24"/>
              </w:rPr>
              <w:t>Assistant Professor, MVN University, Palwal, NH-2 Delhi Agra Highway, NCR, Aurangabad, Haryana, 121105</w:t>
            </w:r>
          </w:p>
          <w:p w14:paraId="0CC2F16F" w14:textId="0F0C3ABC" w:rsidR="00F05C95" w:rsidRPr="00DF6F52" w:rsidRDefault="00F05C95" w:rsidP="00F05C95">
            <w:pPr>
              <w:jc w:val="center"/>
              <w:rPr>
                <w:i/>
                <w:iCs/>
                <w:sz w:val="24"/>
                <w:szCs w:val="24"/>
              </w:rPr>
            </w:pPr>
            <w:r w:rsidRPr="00DF6F52">
              <w:rPr>
                <w:i/>
                <w:iCs/>
                <w:sz w:val="24"/>
                <w:szCs w:val="24"/>
              </w:rPr>
              <w:t>3</w:t>
            </w:r>
            <w:r w:rsidR="00DF6F52" w:rsidRPr="00DF6F52">
              <w:rPr>
                <w:i/>
                <w:iCs/>
                <w:sz w:val="24"/>
                <w:szCs w:val="24"/>
              </w:rPr>
              <w:t>.</w:t>
            </w:r>
            <w:r w:rsidRPr="00DF6F52">
              <w:rPr>
                <w:i/>
                <w:iCs/>
                <w:sz w:val="24"/>
                <w:szCs w:val="24"/>
              </w:rPr>
              <w:t>Assistant Professor, MVN University, Palwal, NH-2 Delhi Agra Highway, NCR, Aurangabad, Haryana, 121105</w:t>
            </w:r>
          </w:p>
          <w:p w14:paraId="156C72C9" w14:textId="2957D5C8" w:rsidR="003D30FC" w:rsidRPr="00DF6F52" w:rsidRDefault="00F05C95" w:rsidP="00DF6F52">
            <w:pPr>
              <w:jc w:val="center"/>
              <w:rPr>
                <w:sz w:val="24"/>
                <w:szCs w:val="24"/>
              </w:rPr>
            </w:pPr>
            <w:r w:rsidRPr="00DF6F52">
              <w:rPr>
                <w:i/>
                <w:iCs/>
                <w:sz w:val="24"/>
                <w:szCs w:val="24"/>
              </w:rPr>
              <w:t>4</w:t>
            </w:r>
            <w:r w:rsidR="00DF6F52" w:rsidRPr="00DF6F52">
              <w:rPr>
                <w:i/>
                <w:iCs/>
                <w:sz w:val="24"/>
                <w:szCs w:val="24"/>
              </w:rPr>
              <w:t>.</w:t>
            </w:r>
            <w:r w:rsidRPr="00DF6F52">
              <w:rPr>
                <w:i/>
                <w:iCs/>
                <w:sz w:val="24"/>
                <w:szCs w:val="24"/>
              </w:rPr>
              <w:t xml:space="preserve"> Dean, SOPS, MVN University, Palwal, NH-2 Delhi Agra Highway, NCR, Aurangabad, Haryana, 121105</w:t>
            </w:r>
          </w:p>
        </w:tc>
      </w:tr>
    </w:tbl>
    <w:p w14:paraId="465D37F8" w14:textId="77777777" w:rsidR="004D4EE9" w:rsidRPr="00190035" w:rsidRDefault="00000000" w:rsidP="00EF4F13">
      <w:pPr>
        <w:rPr>
          <w:rFonts w:ascii="Times New Roman" w:eastAsia="SimSun-ExtB" w:hAnsi="Times New Roman" w:cs="Times New Roman"/>
          <w:bCs/>
          <w:sz w:val="28"/>
          <w:szCs w:val="28"/>
        </w:rPr>
      </w:pPr>
      <w:r>
        <w:rPr>
          <w:rFonts w:ascii="Times New Roman" w:hAnsi="Times New Roman" w:cs="Times New Roman"/>
          <w:b/>
          <w:bCs/>
          <w:i/>
          <w:sz w:val="18"/>
          <w:szCs w:val="24"/>
        </w:rPr>
        <w:pict w14:anchorId="669325D0">
          <v:rect id="_x0000_i1027" style="width:468pt;height:1.7pt" o:hrstd="t" o:hrnoshade="t" o:hr="t" fillcolor="black [3213]" stroked="f"/>
        </w:pict>
      </w:r>
      <w:r w:rsidR="00136D16" w:rsidRPr="00190035">
        <w:rPr>
          <w:rFonts w:ascii="Times New Roman" w:eastAsia="SimSun-ExtB" w:hAnsi="Times New Roman" w:cs="Times New Roman"/>
          <w:bCs/>
          <w:sz w:val="28"/>
          <w:szCs w:val="28"/>
        </w:rPr>
        <w:t>ABSTRACT</w:t>
      </w:r>
    </w:p>
    <w:p w14:paraId="3DBFC9EA" w14:textId="77777777" w:rsidR="00F05C95" w:rsidRPr="00045E8C" w:rsidRDefault="00F05C95" w:rsidP="00DF6F52">
      <w:pPr>
        <w:tabs>
          <w:tab w:val="left" w:pos="410"/>
        </w:tabs>
        <w:spacing w:line="264" w:lineRule="auto"/>
        <w:rPr>
          <w:rFonts w:ascii="Times New Roman" w:hAnsi="Times New Roman" w:cs="Times New Roman"/>
          <w:sz w:val="24"/>
          <w:szCs w:val="24"/>
        </w:rPr>
      </w:pPr>
      <w:r w:rsidRPr="00045E8C">
        <w:rPr>
          <w:rFonts w:ascii="Times New Roman" w:hAnsi="Times New Roman" w:cs="Times New Roman"/>
          <w:sz w:val="24"/>
          <w:szCs w:val="24"/>
        </w:rPr>
        <w:t xml:space="preserve">Peptic ulcer disease remains a pressing health issue worldwide, most often linked to Helicobacter pylori infection and long-term use of non-steroidal anti-inflammatory drugs (NSAIDs). While conventional therapies such as proton pump inhibitors (PPIs), histamine-2 receptor antagonists (H2RAs), cytoprotective agents, and antibiotics have transformed patient care by reducing acid secretion and eradicating infection, they are not without drawbacks. Rising antibiotic resistance, drug-related side effects, and recurrence of ulcers continue to challenge clinicians and patients alike. In recent years, herbal medicine has gained attention as a complementary or alternative approach. Plant-derived compounds rich in flavonoids, tannins, alkaloids, and terpenoids offer anti-inflammatory, antioxidant, and antisecretory effects, while also strengthening the stomach’s natural defenses. Traditional remedies such as Anogeissus latifolia, Alchornea castaneaefolia, Decalepis salicifolia, Solanum nigrum, Ocimum tenuiflorum, Asparagus racemosus, and Curcuma longa have shown promising results in experimental models, not only reducing ulcer formation but also accelerating healing. This review brings together evidence on both synthetic and herbal strategies, comparing their mechanisms, effectiveness, safety, and cost considerations. While PPIs and antibiotic regimens remain indispensable for </w:t>
      </w:r>
      <w:r w:rsidRPr="002D2BCD">
        <w:rPr>
          <w:rFonts w:ascii="Times New Roman" w:hAnsi="Times New Roman" w:cs="Times New Roman"/>
          <w:i/>
          <w:iCs/>
          <w:sz w:val="24"/>
          <w:szCs w:val="24"/>
        </w:rPr>
        <w:t xml:space="preserve">H. pylori </w:t>
      </w:r>
      <w:r w:rsidRPr="00045E8C">
        <w:rPr>
          <w:rFonts w:ascii="Times New Roman" w:hAnsi="Times New Roman" w:cs="Times New Roman"/>
          <w:sz w:val="24"/>
          <w:szCs w:val="24"/>
        </w:rPr>
        <w:t xml:space="preserve">eradication and NSAID-induced ulcer prevention, herbal therapeutics stand out for their lower side-effect profile and potential to provide long-term mucosal protection. Looking ahead, integrated treatment approaches that combine modern pharmacology with traditional phytomedicine may offer the most balanced and sustainable path for managing peptic ulcer disease.               </w:t>
      </w:r>
    </w:p>
    <w:p w14:paraId="7828CFF4" w14:textId="17051345" w:rsidR="005B769E" w:rsidRDefault="00F05C95" w:rsidP="00DF6F52">
      <w:pPr>
        <w:spacing w:line="264" w:lineRule="auto"/>
        <w:rPr>
          <w:rFonts w:ascii="Times New Roman" w:hAnsi="Times New Roman" w:cs="Times New Roman"/>
          <w:sz w:val="24"/>
          <w:szCs w:val="24"/>
        </w:rPr>
      </w:pPr>
      <w:r w:rsidRPr="00045E8C">
        <w:rPr>
          <w:rFonts w:ascii="Times New Roman" w:hAnsi="Times New Roman" w:cs="Times New Roman"/>
          <w:b/>
          <w:bCs/>
          <w:sz w:val="24"/>
          <w:szCs w:val="24"/>
        </w:rPr>
        <w:t xml:space="preserve">Keywords: </w:t>
      </w:r>
      <w:r w:rsidRPr="00045E8C">
        <w:rPr>
          <w:rFonts w:ascii="Times New Roman" w:hAnsi="Times New Roman" w:cs="Times New Roman"/>
          <w:sz w:val="24"/>
          <w:szCs w:val="24"/>
        </w:rPr>
        <w:t>Peptic ulcer disease, Helicobacter pylori, NSAIDs, Proton pump inhibitors (PPIs), Herbal medicine, Flavonoids.</w:t>
      </w:r>
    </w:p>
    <w:p w14:paraId="50BECB43" w14:textId="77777777" w:rsidR="00977FF1" w:rsidRPr="00B373B6" w:rsidRDefault="00000000" w:rsidP="005B769E">
      <w:pPr>
        <w:spacing w:line="240" w:lineRule="auto"/>
        <w:rPr>
          <w:rFonts w:ascii="Times New Roman" w:hAnsi="Times New Roman" w:cs="Times New Roman"/>
          <w:sz w:val="24"/>
          <w:szCs w:val="24"/>
        </w:rPr>
      </w:pPr>
      <w:r>
        <w:rPr>
          <w:rFonts w:ascii="Times New Roman" w:hAnsi="Times New Roman" w:cs="Times New Roman"/>
          <w:bCs/>
          <w:sz w:val="2"/>
          <w:szCs w:val="24"/>
        </w:rPr>
        <w:pict w14:anchorId="361E7FB2">
          <v:rect id="_x0000_i1028" style="width:468pt;height:3pt" o:hrstd="t" o:hrnoshade="t" o:hr="t" fillcolor="black [3213]" stroked="f"/>
        </w:pict>
      </w:r>
    </w:p>
    <w:p w14:paraId="42889A7D" w14:textId="4862AA60" w:rsidR="003B1CF5" w:rsidRPr="00EF4F13" w:rsidRDefault="00977FF1" w:rsidP="005B769E">
      <w:pPr>
        <w:shd w:val="clear" w:color="auto" w:fill="F2DBDB" w:themeFill="accent2" w:themeFillTint="33"/>
        <w:spacing w:line="240" w:lineRule="auto"/>
        <w:rPr>
          <w:rFonts w:ascii="Times New Roman" w:hAnsi="Times New Roman" w:cs="Times New Roman"/>
        </w:rPr>
      </w:pPr>
      <w:r w:rsidRPr="00F946D2">
        <w:rPr>
          <w:rFonts w:ascii="Times New Roman" w:hAnsi="Times New Roman" w:cs="Times New Roman"/>
        </w:rPr>
        <w:t>*</w:t>
      </w:r>
      <w:r w:rsidRPr="003B5E95">
        <w:rPr>
          <w:rFonts w:ascii="Times New Roman" w:hAnsi="Times New Roman" w:cs="Times New Roman"/>
        </w:rPr>
        <w:t xml:space="preserve">Corresponding Author </w:t>
      </w:r>
      <w:r w:rsidRPr="001D0878">
        <w:rPr>
          <w:rFonts w:ascii="Times New Roman" w:hAnsi="Times New Roman" w:cs="Times New Roman"/>
        </w:rPr>
        <w:t>Email</w:t>
      </w:r>
      <w:r w:rsidR="00825A41" w:rsidRPr="001D0878">
        <w:rPr>
          <w:rFonts w:ascii="Times New Roman" w:hAnsi="Times New Roman" w:cs="Times New Roman"/>
        </w:rPr>
        <w:t>:</w:t>
      </w:r>
      <w:r w:rsidR="008B1C4D">
        <w:rPr>
          <w:rFonts w:ascii="Times New Roman" w:hAnsi="Times New Roman" w:cs="Times New Roman"/>
        </w:rPr>
        <w:t xml:space="preserve"> </w:t>
      </w:r>
      <w:r w:rsidR="00FA4C39" w:rsidRPr="00FA4C39">
        <w:t>nehachauhan7006@gmail.com</w:t>
      </w:r>
    </w:p>
    <w:p w14:paraId="0D9B7C63" w14:textId="22E6BC27" w:rsidR="00977FF1" w:rsidRPr="00F946D2" w:rsidRDefault="003B048D" w:rsidP="005B769E">
      <w:pPr>
        <w:shd w:val="clear" w:color="auto" w:fill="F2DBDB" w:themeFill="accent2" w:themeFillTint="33"/>
        <w:spacing w:line="240" w:lineRule="auto"/>
        <w:rPr>
          <w:rFonts w:ascii="Times New Roman" w:hAnsi="Times New Roman" w:cs="Times New Roman"/>
          <w:bCs/>
        </w:rPr>
      </w:pPr>
      <w:r>
        <w:rPr>
          <w:rFonts w:ascii="Times New Roman" w:hAnsi="Times New Roman" w:cs="Times New Roman"/>
          <w:bCs/>
        </w:rPr>
        <w:t xml:space="preserve">Received </w:t>
      </w:r>
      <w:r w:rsidR="00D122E0">
        <w:rPr>
          <w:rFonts w:ascii="Times New Roman" w:hAnsi="Times New Roman" w:cs="Times New Roman"/>
          <w:bCs/>
        </w:rPr>
        <w:t xml:space="preserve">22 </w:t>
      </w:r>
      <w:r w:rsidR="008A20E8">
        <w:rPr>
          <w:rFonts w:ascii="Times New Roman" w:hAnsi="Times New Roman" w:cs="Times New Roman"/>
          <w:bCs/>
        </w:rPr>
        <w:t>February</w:t>
      </w:r>
      <w:r w:rsidR="002256C4">
        <w:rPr>
          <w:rFonts w:ascii="Times New Roman" w:hAnsi="Times New Roman" w:cs="Times New Roman"/>
          <w:bCs/>
        </w:rPr>
        <w:t xml:space="preserve"> </w:t>
      </w:r>
      <w:r w:rsidR="000D62E0">
        <w:rPr>
          <w:rFonts w:ascii="Times New Roman" w:hAnsi="Times New Roman" w:cs="Times New Roman"/>
          <w:bCs/>
        </w:rPr>
        <w:t>202</w:t>
      </w:r>
      <w:r w:rsidR="001057B3">
        <w:rPr>
          <w:rFonts w:ascii="Times New Roman" w:hAnsi="Times New Roman" w:cs="Times New Roman"/>
          <w:bCs/>
        </w:rPr>
        <w:t>6</w:t>
      </w:r>
      <w:r w:rsidR="000D62E0">
        <w:rPr>
          <w:rFonts w:ascii="Times New Roman" w:hAnsi="Times New Roman" w:cs="Times New Roman"/>
          <w:bCs/>
        </w:rPr>
        <w:t xml:space="preserve">, Accepted </w:t>
      </w:r>
      <w:r w:rsidR="008A20E8">
        <w:rPr>
          <w:rFonts w:ascii="Times New Roman" w:hAnsi="Times New Roman" w:cs="Times New Roman"/>
          <w:bCs/>
        </w:rPr>
        <w:t>25 March</w:t>
      </w:r>
      <w:r w:rsidR="00AE5EA7">
        <w:rPr>
          <w:rFonts w:ascii="Times New Roman" w:hAnsi="Times New Roman" w:cs="Times New Roman"/>
          <w:bCs/>
        </w:rPr>
        <w:t xml:space="preserve"> </w:t>
      </w:r>
      <w:r w:rsidR="000D62E0">
        <w:rPr>
          <w:rFonts w:ascii="Times New Roman" w:hAnsi="Times New Roman" w:cs="Times New Roman"/>
          <w:bCs/>
        </w:rPr>
        <w:t>202</w:t>
      </w:r>
      <w:r w:rsidR="001057B3">
        <w:rPr>
          <w:rFonts w:ascii="Times New Roman" w:hAnsi="Times New Roman" w:cs="Times New Roman"/>
          <w:bCs/>
        </w:rPr>
        <w:t>6</w:t>
      </w:r>
    </w:p>
    <w:p w14:paraId="20FFA6AD" w14:textId="77777777" w:rsidR="00736F75" w:rsidRPr="00F946D2" w:rsidRDefault="00000000" w:rsidP="005B769E">
      <w:pPr>
        <w:spacing w:line="240" w:lineRule="auto"/>
        <w:rPr>
          <w:rFonts w:ascii="Times New Roman" w:hAnsi="Times New Roman" w:cs="Times New Roman"/>
          <w:sz w:val="14"/>
        </w:rPr>
      </w:pPr>
      <w:r>
        <w:rPr>
          <w:rFonts w:ascii="Times New Roman" w:hAnsi="Times New Roman" w:cs="Times New Roman"/>
          <w:bCs/>
        </w:rPr>
        <w:pict w14:anchorId="4B158F0E">
          <v:rect id="_x0000_i1029" style="width:468pt;height:3pt" o:hrstd="t" o:hrnoshade="t" o:hr="t" fillcolor="black [3213]" stroked="f"/>
        </w:pict>
      </w:r>
    </w:p>
    <w:p w14:paraId="42B27EB0" w14:textId="0672C06A" w:rsidR="00F05C95" w:rsidRPr="00F05C95" w:rsidRDefault="00A60754" w:rsidP="00F05C95">
      <w:pPr>
        <w:contextualSpacing/>
        <w:outlineLvl w:val="0"/>
        <w:rPr>
          <w:rFonts w:ascii="Times New Roman" w:hAnsi="Times New Roman" w:cs="Times New Roman"/>
          <w:bCs/>
          <w:sz w:val="28"/>
          <w:szCs w:val="24"/>
        </w:rPr>
      </w:pPr>
      <w:r w:rsidRPr="00AE0CAA">
        <w:rPr>
          <w:rFonts w:ascii="Times New Roman" w:hAnsi="Times New Roman" w:cs="Times New Roman"/>
          <w:bCs/>
          <w:sz w:val="28"/>
          <w:szCs w:val="24"/>
        </w:rPr>
        <w:lastRenderedPageBreak/>
        <w:t>INTRODUCTION</w:t>
      </w:r>
    </w:p>
    <w:p w14:paraId="7213E693"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Peptic ulcers are not actually blisters but open sores that develop on the inner lining of the stomach, the upper part of the small intestine (duodenum), or occasionally the lower esophagus (Kuna et al., 2019). They occur when the protective mucosal layer of the digestive tract becomes weakened or eroded, allowing strong stomach acids and digestive enzymes to injure the underlying tissues. This breakdown of the protective barrier can happen for several reasons, including infection with Helicobacter pylori bacteria, long‑term use of non‑steroidal anti‑inflammatory drugs (NSAIDs) (Lanas &amp; Chan, 2017), excessive acid production, smoking, alcohol intake, or high stress levels (Kuna et al., 2019). As the lining becomes damaged, the exposed tissue becomes inflamed and painful, leading to symptoms such as burning stomach pain, bloating, nausea, or indigestion. If left untreated, ulcers can deepen and cause complications like bleeding or perforation, making early diagnosis and management essential (Lanas et al., 2011). Peptic ulcers can be quite uncomfortable, and when they aren’t treated properly, they can turn into serious health problems. In the past, these ulcers were surprisingly common almost 1 in 10 people experienced them at some point (Lanas &amp; Chan, 2017). Over time, though, the number of cases has dropped significantly due to better hygiene, improved living conditions, and more effective medical treatments (Søreide et al., 2015). One of the biggest reasons is the reduced spread of Helicobacter pylori (</w:t>
      </w:r>
      <w:r w:rsidRPr="00DF6F52">
        <w:rPr>
          <w:rFonts w:ascii="Times New Roman" w:hAnsi="Times New Roman" w:cs="Times New Roman"/>
          <w:i/>
          <w:iCs/>
          <w:sz w:val="24"/>
          <w:szCs w:val="24"/>
        </w:rPr>
        <w:t>H. pylori</w:t>
      </w:r>
      <w:r w:rsidRPr="00DF6F52">
        <w:rPr>
          <w:rFonts w:ascii="Times New Roman" w:hAnsi="Times New Roman" w:cs="Times New Roman"/>
          <w:sz w:val="24"/>
          <w:szCs w:val="24"/>
        </w:rPr>
        <w:t xml:space="preserve">), the bacteria responsible for most ulcer cases (Datta De, 2015; Lanas &amp; Chan, 2017). As awareness grew and antibiotics became widely available, fewer people became infected. Lifestyle changes, such as smoking less and using painkillers more carefully, have also helped lower the risk (Kuna et al., 2019). For many years, doctors believed that peptic ulcers were mainly the result of excess stomach acid, combined with stress, anxiety, or poor eating habits. While these factors can still play a role, modern research has shown that ulcers are far more complex (Lanas et al., 2011). One of the biggest discoveries was the role of </w:t>
      </w:r>
      <w:r w:rsidRPr="00DF6F52">
        <w:rPr>
          <w:rFonts w:ascii="Times New Roman" w:hAnsi="Times New Roman" w:cs="Times New Roman"/>
          <w:i/>
          <w:iCs/>
          <w:sz w:val="24"/>
          <w:szCs w:val="24"/>
        </w:rPr>
        <w:t>H. pylori</w:t>
      </w:r>
      <w:r w:rsidRPr="00DF6F52">
        <w:rPr>
          <w:rFonts w:ascii="Times New Roman" w:hAnsi="Times New Roman" w:cs="Times New Roman"/>
          <w:sz w:val="24"/>
          <w:szCs w:val="24"/>
        </w:rPr>
        <w:t xml:space="preserve">, a bacterium that weakens the stomach’s protective lining (Lanas &amp; Chan, 2017). Other contributors include smoking, frequent alcohol use, and long‑term use of NSAIDs such as ibuprofen or aspirin, which can irritate the stomach lining (Lanas et al., 2015). In rare cases, conditions like Zollinger–Ellison syndrome cause excessive acid production, leading to severe ulcers (Kuna et al., 2019). Interestingly, not everyone who encounters the common risk factors for peptic ulcers actually develops one. This difference comes down, in part, to genetics (Søreide et al., 2015). Some individuals carry specific variations in immune‑related genes that make their stomach lining more sensitive to damage or less effective at controlling inflammation (Datta De, 2015). These genetic differences can influence how strongly a person reacts to </w:t>
      </w:r>
      <w:r w:rsidRPr="00DF6F52">
        <w:rPr>
          <w:rFonts w:ascii="Times New Roman" w:hAnsi="Times New Roman" w:cs="Times New Roman"/>
          <w:i/>
          <w:iCs/>
          <w:sz w:val="24"/>
          <w:szCs w:val="24"/>
        </w:rPr>
        <w:t xml:space="preserve">H. pylori </w:t>
      </w:r>
      <w:r w:rsidRPr="00DF6F52">
        <w:rPr>
          <w:rFonts w:ascii="Times New Roman" w:hAnsi="Times New Roman" w:cs="Times New Roman"/>
          <w:sz w:val="24"/>
          <w:szCs w:val="24"/>
        </w:rPr>
        <w:t xml:space="preserve">infection or how well their body repairs the </w:t>
      </w:r>
      <w:r w:rsidRPr="00DF6F52">
        <w:rPr>
          <w:rFonts w:ascii="Times New Roman" w:hAnsi="Times New Roman" w:cs="Times New Roman"/>
          <w:sz w:val="24"/>
          <w:szCs w:val="24"/>
        </w:rPr>
        <w:lastRenderedPageBreak/>
        <w:t xml:space="preserve">mucosal barrier once it’s irritated (Zhang et al., 2014). As a result, two people with the same lifestyle habits or exposures may have very different outcomes one might develop an ulcer, while the other remains completely unaffected (Søreide et al., 2015). Genetic differences can shape how our bodies respond to infections. For example, variations in the gene that regulates interleukin‑1 beta, a key player in inflammation, can make someone more vulnerable to damage from Helicobacter pylori, the bacteria often linked to stomach ulcers (Zhang et al., 2014). This means that some people’s immune systems react more aggressively, increasing the risk of ulcers (Datta De, 2015). Lifestyle choices also matter: regular use of NSAIDs such as ibuprofen or naproxen raises the chance of serious ulcer complications about fourfold, while aspirin use doubles the risk (Lanas et al., 2015). Together, genes and medicines can quietly tip the balance toward ulcer disease (Zhang et al., 2014). When medicines like NSAIDs or aspirin are taken alongside other drugs such as blood thinners, corticosteroids, or antidepressants called SSRIs the risk of harm to the stomach and intestines rises sharply (Lanas et al., 2015). These combinations can make the lining of the digestive tract more fragile, greatly increasing the chance of bleeding in the upper gut (Datta De, 2015). At the same time, many people who use NSAIDs or aspirin also carry </w:t>
      </w:r>
      <w:r w:rsidRPr="00DF6F52">
        <w:rPr>
          <w:rFonts w:ascii="Times New Roman" w:hAnsi="Times New Roman" w:cs="Times New Roman"/>
          <w:i/>
          <w:iCs/>
          <w:sz w:val="24"/>
          <w:szCs w:val="24"/>
        </w:rPr>
        <w:t>Helicobacter pylori</w:t>
      </w:r>
      <w:r w:rsidRPr="00DF6F52">
        <w:rPr>
          <w:rFonts w:ascii="Times New Roman" w:hAnsi="Times New Roman" w:cs="Times New Roman"/>
          <w:sz w:val="24"/>
          <w:szCs w:val="24"/>
        </w:rPr>
        <w:t xml:space="preserve">, a bacterium strongly linked to ulcer formation (Lanas &amp; Chan, 2017). Scientists know both factors are important, but the exact way they interact remains uncertain. It is a reminder that ulcers often result from a mix of genetics, infections, and medications, rather than a single cause, making careful medical supervision essential (Datta De, 2015). Research looking at many observational studies shows that NSAIDs, aspirin, and Helicobacter pylori each independently raise the risk of peptic ulcers (Lanas et al., 2015). In other words, they do not have to act together to cause damage their effects alone can be enough. What is even more intriguing is that around 20% of ulcer cases occur in people who neither use NSAIDs or aspirin nor carry </w:t>
      </w:r>
      <w:r w:rsidRPr="00DF6F52">
        <w:rPr>
          <w:rFonts w:ascii="Times New Roman" w:hAnsi="Times New Roman" w:cs="Times New Roman"/>
          <w:i/>
          <w:iCs/>
          <w:sz w:val="24"/>
          <w:szCs w:val="24"/>
        </w:rPr>
        <w:t xml:space="preserve">H. pylori </w:t>
      </w:r>
      <w:r w:rsidRPr="00DF6F52">
        <w:rPr>
          <w:rFonts w:ascii="Times New Roman" w:hAnsi="Times New Roman" w:cs="Times New Roman"/>
          <w:sz w:val="24"/>
          <w:szCs w:val="24"/>
        </w:rPr>
        <w:t xml:space="preserve">(McColl, 2009). These are known as idiopathic ulcers. Doctors believe they may arise when the body’s natural defenses, like mucus and blood flow in the stomach lining, fail to balance against harmful factors such as acid. Yet, the precise reasons remain uncertain, reminding us how complex and multifactorial ulcer disease truly is (McColl, 2009). Scientists are learning that ulcers aren’t always caused by </w:t>
      </w:r>
      <w:r w:rsidRPr="00DF6F52">
        <w:rPr>
          <w:rFonts w:ascii="Times New Roman" w:hAnsi="Times New Roman" w:cs="Times New Roman"/>
          <w:i/>
          <w:iCs/>
          <w:sz w:val="24"/>
          <w:szCs w:val="24"/>
        </w:rPr>
        <w:t xml:space="preserve">H. pylori </w:t>
      </w:r>
      <w:r w:rsidRPr="00DF6F52">
        <w:rPr>
          <w:rFonts w:ascii="Times New Roman" w:hAnsi="Times New Roman" w:cs="Times New Roman"/>
          <w:sz w:val="24"/>
          <w:szCs w:val="24"/>
        </w:rPr>
        <w:t xml:space="preserve">or painkillers like NSAIDs. A Danish study points to psychological stress as a possible trigger, showing how the mind and body are closely linked (McColl, 2009). Other factors can also weaken the stomach’s defenses. Poor blood flow, for example, reduces the lining’s ability to heal, while medications such as steroids, chemotherapy drugs, or even radiation therapy can irritate the gut (Lanas et al., 2011). Viral infections, excess histamine, and unusual immune reactions like eosinophilic infiltration add further complexity. In </w:t>
      </w:r>
      <w:r w:rsidRPr="00DF6F52">
        <w:rPr>
          <w:rFonts w:ascii="Times New Roman" w:hAnsi="Times New Roman" w:cs="Times New Roman"/>
          <w:sz w:val="24"/>
          <w:szCs w:val="24"/>
        </w:rPr>
        <w:lastRenderedPageBreak/>
        <w:t xml:space="preserve">some cases, ulcers appear after gastric bypass surgery or due to metabolic disorders. These diverse causes highlight that ulcer disease is multifaceted, shaped by both physical and emotional influences (McColl, 2009). Phytochemicals, the natural compounds found in plants, have been part of traditional healing practices for centuries. Unlike many synthetic drugs, they are often considered gentler and safer, making them attractive options for long-term use (Choi et al., 2016). These plant-derived substances can help protect the body against inflammation, oxidative stress, and even chronic diseases, offering therapeutic benefits that go beyond symptom relief. What makes them especially valuable is their availability in everyday foods and herbs, meaning people can consume them not only as medicines but also as nutritional supplements. From green tea polyphenols to turmeric’s curcumin, phytochemicals remind us how nature provides powerful tools to support health and well-being (Choi et al., 2016). Preclinical studies have shed light on the remarkable anti-ulcer potential of many plant-derived compounds (Kuna et al., 2019). Natural constituents such as alkaloids, tannins, flavonoids, terpenoids, glycosides, carotenoids, and saponins have each demonstrated protective effects on the stomach lining, helping to reduce inflammation, neutralize harmful free radicals, and promote healing (Doll et al., 1956; Choi et al., 2016). These findings suggest that plants long valued in traditional medicine may hold modern therapeutic promise. This manuscript highlights several medicinal plants and their active compounds that show encouraging results in managing peptic ulcers. By bridging ancient wisdom with scientific evidence, these natural agents offer safer, holistic alternatives that could complement or even reduce reliance on conventional drugs, making ulcer care more accessible and patient-friendly (Kuna et al., 2019). Omeprazole, first introduced in 1989, transformed the way doctors treat acid-related disorders. It was the pioneer of a new class of medicines called proton pump inhibitors (PPIs), which work by powerfully reducing stomach acid production (Shi &amp; Klotz, 2008). This breakthrough quickly shifted medical practice, as PPIs proved more effective and reliable than older treatments such as histamine-2-receptor antagonists, synthetic prostaglandin analogues, and anticholinergics (Farley et al., 2000). Over time, PPIs became the gold standard for managing conditions like peptic ulcers, gastroesophageal reflux disease (GERD), and other acid-related problems. Their success not only improved patient outcomes but also simplified treatment, offering relief to millions worldwide and ushering in a new era of gastrointestinal care (Shi &amp; Klotz, 2008). Proton pump inhibitors (PPIs) have revolutionized the management of acid-related disorders by offering stronger and longer-lasting acid suppression than older therapies. They are widely recognized for their excellent safety profile and are generally well tolerated, which has helped them gain the trust of both doctors and patients (Shi &amp; Klotz, 2008). By 2015, six different </w:t>
      </w:r>
      <w:r w:rsidRPr="00DF6F52">
        <w:rPr>
          <w:rFonts w:ascii="Times New Roman" w:hAnsi="Times New Roman" w:cs="Times New Roman"/>
          <w:sz w:val="24"/>
          <w:szCs w:val="24"/>
        </w:rPr>
        <w:lastRenderedPageBreak/>
        <w:t>PPIs had been approved by the U.S. Food and Drug Administration, giving clinicians a range of options to tailor treatment. Their widespread use by primary care physicians and gastroenterologists has firmly established PPIs as the cornerstone of therapy (Farley et al., 2000). Today, they are considered the first-line treatment for multiple conditions, including esophagitis, nonerosive reflux disease, peptic ulcer disease, prevention of NSAID-induced ulcers, Zollinger–Ellison syndrome, and functional dyspepsia. Their effectiveness and reliability have made PPIs an essential tool in modern gastroenterology, improving quality of life for millions worldwide (Shi &amp; Klotz, 2008). When paired with antibiotics, proton pump inhibitors (PPIs) become vital in clearing Helicobacter pylori infections. By reducing stomach acid, PPIs create a friendlier environment for antibiotics to work effectively. This combination not only heals ulcers but also tackles the root cause, offering patients lasting relief and improved digestive health (Shi &amp; Klotz, 2008).</w:t>
      </w:r>
    </w:p>
    <w:p w14:paraId="008188CC" w14:textId="0298176B" w:rsidR="00F05C95" w:rsidRPr="00DF6F52" w:rsidRDefault="00F05C95" w:rsidP="00DF6F52">
      <w:pPr>
        <w:rPr>
          <w:rFonts w:ascii="Times New Roman" w:hAnsi="Times New Roman" w:cs="Times New Roman"/>
          <w:b/>
          <w:bCs/>
          <w:sz w:val="24"/>
          <w:szCs w:val="24"/>
        </w:rPr>
      </w:pPr>
      <w:r w:rsidRPr="00DF6F52">
        <w:rPr>
          <w:rFonts w:ascii="Times New Roman" w:hAnsi="Times New Roman" w:cs="Times New Roman"/>
          <w:b/>
          <w:bCs/>
          <w:sz w:val="24"/>
          <w:szCs w:val="24"/>
        </w:rPr>
        <w:t xml:space="preserve">Pathogenesis of Peptic Ulcer: </w:t>
      </w:r>
    </w:p>
    <w:p w14:paraId="0469A319"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Helicobacter pylori (</w:t>
      </w:r>
      <w:r w:rsidRPr="00DF6F52">
        <w:rPr>
          <w:rFonts w:ascii="Times New Roman" w:hAnsi="Times New Roman" w:cs="Times New Roman"/>
          <w:i/>
          <w:iCs/>
          <w:sz w:val="24"/>
          <w:szCs w:val="24"/>
        </w:rPr>
        <w:t>H. pylori</w:t>
      </w:r>
      <w:r w:rsidRPr="00DF6F52">
        <w:rPr>
          <w:rFonts w:ascii="Times New Roman" w:hAnsi="Times New Roman" w:cs="Times New Roman"/>
          <w:sz w:val="24"/>
          <w:szCs w:val="24"/>
        </w:rPr>
        <w:t xml:space="preserve">) colonizes nearly half of the global population and remains one of the leading causes of peptic ulcer disease (Hooi et al., 2017). Its prevalence is notably higher in developing regions such as Africa, Central America, Central Asia, and Eastern Europe, where socioeconomic challenges and poor sanitation contribute to widespread transmission (Hooi et al., 2017). Most individuals acquire the infection during childhood, often in crowded living conditions with limited access to clean water and hygiene (Siddique et al., 2018). Once established in the stomach lining, </w:t>
      </w:r>
      <w:r w:rsidRPr="00DF6F52">
        <w:rPr>
          <w:rFonts w:ascii="Times New Roman" w:hAnsi="Times New Roman" w:cs="Times New Roman"/>
          <w:i/>
          <w:iCs/>
          <w:sz w:val="24"/>
          <w:szCs w:val="24"/>
        </w:rPr>
        <w:t xml:space="preserve">H. pylori </w:t>
      </w:r>
      <w:r w:rsidRPr="00DF6F52">
        <w:rPr>
          <w:rFonts w:ascii="Times New Roman" w:hAnsi="Times New Roman" w:cs="Times New Roman"/>
          <w:sz w:val="24"/>
          <w:szCs w:val="24"/>
        </w:rPr>
        <w:t xml:space="preserve">triggers a robust immune response involving neutrophils, lymphocytes, plasma cells, and macrophages (Siddique et al., 2018). This inflammation leads to damage and degeneration of the epithelial cells, particularly in the antral region of the stomach, setting the stage for ulcer formation (Siddique et al., 2018). The exact mechanism by which Helicobacter pylori causes different types of lesions in the stomach and duodenum remains incompletely understood (Zaki et al., 2013). Interestingly, </w:t>
      </w:r>
      <w:r w:rsidRPr="00DF6F52">
        <w:rPr>
          <w:rFonts w:ascii="Times New Roman" w:hAnsi="Times New Roman" w:cs="Times New Roman"/>
          <w:i/>
          <w:iCs/>
          <w:sz w:val="24"/>
          <w:szCs w:val="24"/>
        </w:rPr>
        <w:t xml:space="preserve">H. pylori </w:t>
      </w:r>
      <w:r w:rsidRPr="00DF6F52">
        <w:rPr>
          <w:rFonts w:ascii="Times New Roman" w:hAnsi="Times New Roman" w:cs="Times New Roman"/>
          <w:sz w:val="24"/>
          <w:szCs w:val="24"/>
        </w:rPr>
        <w:t xml:space="preserve">infection can lead to either reduced (hypochlorhydria) or increased (hyperchlorhydria) stomach acid secretion, which in turn influences the type of peptic ulcer that develops (Zaki et al., 2013). Cytokines play a central role in mediating the effects of </w:t>
      </w:r>
      <w:r w:rsidRPr="00DF6F52">
        <w:rPr>
          <w:rFonts w:ascii="Times New Roman" w:hAnsi="Times New Roman" w:cs="Times New Roman"/>
          <w:i/>
          <w:iCs/>
          <w:sz w:val="24"/>
          <w:szCs w:val="24"/>
        </w:rPr>
        <w:t xml:space="preserve">H. pylori </w:t>
      </w:r>
      <w:r w:rsidRPr="00DF6F52">
        <w:rPr>
          <w:rFonts w:ascii="Times New Roman" w:hAnsi="Times New Roman" w:cs="Times New Roman"/>
          <w:sz w:val="24"/>
          <w:szCs w:val="24"/>
        </w:rPr>
        <w:t xml:space="preserve">by suppressing acid secretion from parietal cells (Zaki et al., 2013). However, the bacterium also exerts direct effects such as interfering with the H⁺/K⁺ ATPase enzyme, stimulating sensory neurons that release calcitonin gene-related peptide (CGRP) linked to somatostatin regulation, or inhibiting gastrin production (Zaki et al., 2013). While gastric ulcers are typically associated with low acid output, about 10–15% of individuals with </w:t>
      </w:r>
      <w:r w:rsidRPr="00DF6F52">
        <w:rPr>
          <w:rFonts w:ascii="Times New Roman" w:hAnsi="Times New Roman" w:cs="Times New Roman"/>
          <w:i/>
          <w:iCs/>
          <w:sz w:val="24"/>
          <w:szCs w:val="24"/>
        </w:rPr>
        <w:t xml:space="preserve">H. pylori </w:t>
      </w:r>
      <w:r w:rsidRPr="00DF6F52">
        <w:rPr>
          <w:rFonts w:ascii="Times New Roman" w:hAnsi="Times New Roman" w:cs="Times New Roman"/>
          <w:sz w:val="24"/>
          <w:szCs w:val="24"/>
        </w:rPr>
        <w:t xml:space="preserve">infection exhibit increased acid secretion (Zaki et al., 2013). This paradox is driven by elevated gastrin levels (hypergastrinemia) and a reduction in somatostatin within the antrum, which together </w:t>
      </w:r>
      <w:r w:rsidRPr="00DF6F52">
        <w:rPr>
          <w:rFonts w:ascii="Times New Roman" w:hAnsi="Times New Roman" w:cs="Times New Roman"/>
          <w:sz w:val="24"/>
          <w:szCs w:val="24"/>
        </w:rPr>
        <w:lastRenderedPageBreak/>
        <w:t xml:space="preserve">enhance histamine release and stimulate acid and pepsin production by gastric cells (Zaki et al., 2013). </w:t>
      </w:r>
    </w:p>
    <w:p w14:paraId="63A2B745" w14:textId="77777777" w:rsidR="00F05C95" w:rsidRPr="00DF6F52" w:rsidRDefault="00F05C95" w:rsidP="00132391">
      <w:pPr>
        <w:jc w:val="center"/>
        <w:rPr>
          <w:rFonts w:ascii="Times New Roman" w:eastAsia="Times New Roman" w:hAnsi="Times New Roman" w:cs="Times New Roman"/>
          <w:sz w:val="24"/>
          <w:szCs w:val="24"/>
          <w:lang w:eastAsia="en-IN" w:bidi="hi-IN"/>
        </w:rPr>
      </w:pPr>
      <w:r w:rsidRPr="00DF6F52">
        <w:rPr>
          <w:rFonts w:ascii="Times New Roman" w:eastAsia="Times New Roman" w:hAnsi="Times New Roman" w:cs="Times New Roman"/>
          <w:noProof/>
          <w:sz w:val="24"/>
          <w:szCs w:val="24"/>
          <w:lang w:eastAsia="en-IN"/>
        </w:rPr>
        <w:drawing>
          <wp:inline distT="0" distB="0" distL="0" distR="0" wp14:anchorId="64C293E4" wp14:editId="17B0866B">
            <wp:extent cx="4248150" cy="2329332"/>
            <wp:effectExtent l="19050" t="19050" r="19050" b="13970"/>
            <wp:docPr id="3118117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3575" cy="2337790"/>
                    </a:xfrm>
                    <a:prstGeom prst="rect">
                      <a:avLst/>
                    </a:prstGeom>
                    <a:noFill/>
                    <a:ln>
                      <a:solidFill>
                        <a:schemeClr val="tx1"/>
                      </a:solidFill>
                    </a:ln>
                  </pic:spPr>
                </pic:pic>
              </a:graphicData>
            </a:graphic>
          </wp:inline>
        </w:drawing>
      </w:r>
    </w:p>
    <w:p w14:paraId="745DB873" w14:textId="365B660A" w:rsidR="00F05C95" w:rsidRPr="00DF6F52" w:rsidRDefault="00F05C95" w:rsidP="00132391">
      <w:pPr>
        <w:jc w:val="center"/>
        <w:rPr>
          <w:rFonts w:ascii="Times New Roman" w:eastAsia="Times New Roman" w:hAnsi="Times New Roman" w:cs="Times New Roman"/>
          <w:b/>
          <w:bCs/>
          <w:sz w:val="24"/>
          <w:szCs w:val="24"/>
          <w:lang w:eastAsia="en-IN" w:bidi="hi-IN"/>
        </w:rPr>
      </w:pPr>
      <w:r w:rsidRPr="00DF6F52">
        <w:rPr>
          <w:rFonts w:ascii="Times New Roman" w:eastAsia="Times New Roman" w:hAnsi="Times New Roman" w:cs="Times New Roman"/>
          <w:b/>
          <w:bCs/>
          <w:sz w:val="24"/>
          <w:szCs w:val="24"/>
          <w:lang w:eastAsia="en-IN" w:bidi="hi-IN"/>
        </w:rPr>
        <w:t>Figure 1: Pathophysiology of Peptic Ulcer.</w:t>
      </w:r>
    </w:p>
    <w:p w14:paraId="4A7A0152" w14:textId="77777777" w:rsidR="00F05C95" w:rsidRPr="00DF6F52" w:rsidRDefault="00F05C95" w:rsidP="00132391">
      <w:pPr>
        <w:jc w:val="center"/>
        <w:rPr>
          <w:rFonts w:ascii="Times New Roman" w:hAnsi="Times New Roman" w:cs="Times New Roman"/>
          <w:sz w:val="24"/>
          <w:szCs w:val="24"/>
        </w:rPr>
      </w:pPr>
      <w:r w:rsidRPr="00DF6F52">
        <w:rPr>
          <w:rFonts w:ascii="Times New Roman" w:hAnsi="Times New Roman" w:cs="Times New Roman"/>
          <w:noProof/>
          <w:sz w:val="24"/>
          <w:szCs w:val="24"/>
        </w:rPr>
        <w:drawing>
          <wp:inline distT="0" distB="0" distL="0" distR="0" wp14:anchorId="7C19C653" wp14:editId="03DA590A">
            <wp:extent cx="3985260" cy="2093071"/>
            <wp:effectExtent l="19050" t="19050" r="15240" b="21590"/>
            <wp:docPr id="510571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92143" cy="2096686"/>
                    </a:xfrm>
                    <a:prstGeom prst="rect">
                      <a:avLst/>
                    </a:prstGeom>
                    <a:noFill/>
                    <a:ln>
                      <a:solidFill>
                        <a:schemeClr val="tx1"/>
                      </a:solidFill>
                    </a:ln>
                  </pic:spPr>
                </pic:pic>
              </a:graphicData>
            </a:graphic>
          </wp:inline>
        </w:drawing>
      </w:r>
    </w:p>
    <w:p w14:paraId="45919635" w14:textId="6B665543" w:rsidR="00F05C95" w:rsidRPr="00DF6F52" w:rsidRDefault="00F05C95" w:rsidP="00132391">
      <w:pPr>
        <w:jc w:val="center"/>
        <w:rPr>
          <w:rFonts w:ascii="Times New Roman" w:hAnsi="Times New Roman" w:cs="Times New Roman"/>
          <w:b/>
          <w:bCs/>
          <w:sz w:val="24"/>
          <w:szCs w:val="24"/>
        </w:rPr>
      </w:pPr>
      <w:r w:rsidRPr="00DF6F52">
        <w:rPr>
          <w:rFonts w:ascii="Times New Roman" w:hAnsi="Times New Roman" w:cs="Times New Roman"/>
          <w:b/>
          <w:bCs/>
          <w:sz w:val="24"/>
          <w:szCs w:val="24"/>
        </w:rPr>
        <w:t>Figure 2: Pathogenic Influences on Duodenal Health.</w:t>
      </w:r>
    </w:p>
    <w:p w14:paraId="0D5F88CC" w14:textId="77777777" w:rsidR="00F05C95" w:rsidRPr="00DF6F52" w:rsidRDefault="00F05C95" w:rsidP="00DF6F52">
      <w:pPr>
        <w:rPr>
          <w:rFonts w:ascii="Times New Roman" w:hAnsi="Times New Roman" w:cs="Times New Roman"/>
          <w:b/>
          <w:bCs/>
          <w:sz w:val="24"/>
          <w:szCs w:val="24"/>
        </w:rPr>
      </w:pPr>
      <w:r w:rsidRPr="00DF6F52">
        <w:rPr>
          <w:rFonts w:ascii="Times New Roman" w:hAnsi="Times New Roman" w:cs="Times New Roman"/>
          <w:sz w:val="24"/>
          <w:szCs w:val="24"/>
        </w:rPr>
        <w:t xml:space="preserve">Eradicating </w:t>
      </w:r>
      <w:r w:rsidRPr="00DF6F52">
        <w:rPr>
          <w:rFonts w:ascii="Times New Roman" w:hAnsi="Times New Roman" w:cs="Times New Roman"/>
          <w:i/>
          <w:iCs/>
          <w:sz w:val="24"/>
          <w:szCs w:val="24"/>
        </w:rPr>
        <w:t xml:space="preserve">H. pylori </w:t>
      </w:r>
      <w:r w:rsidRPr="00DF6F52">
        <w:rPr>
          <w:rFonts w:ascii="Times New Roman" w:hAnsi="Times New Roman" w:cs="Times New Roman"/>
          <w:sz w:val="24"/>
          <w:szCs w:val="24"/>
        </w:rPr>
        <w:t xml:space="preserve">has been shown to reverse these effects; gastrin mRNA levels decrease, while somatostatin mRNA expression increases (Moss et al., 1992). In most patients, however, gastric ulcers are linked to low stomach acid levels (hypochlorhydria) and thinning of the stomach lining (mucosal atrophy), highlighting the complex and variable nature of </w:t>
      </w:r>
      <w:r w:rsidRPr="00DF6F52">
        <w:rPr>
          <w:rFonts w:ascii="Times New Roman" w:hAnsi="Times New Roman" w:cs="Times New Roman"/>
          <w:i/>
          <w:iCs/>
          <w:sz w:val="24"/>
          <w:szCs w:val="24"/>
        </w:rPr>
        <w:t>H. pylori</w:t>
      </w:r>
      <w:r w:rsidRPr="00DF6F52">
        <w:rPr>
          <w:rFonts w:ascii="Times New Roman" w:hAnsi="Times New Roman" w:cs="Times New Roman"/>
          <w:sz w:val="24"/>
          <w:szCs w:val="24"/>
        </w:rPr>
        <w:t xml:space="preserve">-induced disease (Moss et al., 1992).When it comes to NSAID-related ulcers, the primary culprit is the systemic inhibition of cyclooxygenase-1 (COX-1), an enzyme that’s normally active in the stomach and plays a key role in producing protective prostaglandins ("Vascular and upper gastrointestinal effects," 2013). These prostaglandins help maintain healthy blood flow to the mucosa, stimulate the secretion of mucus and bicarbonate, and support cell renewal ("Vascular and upper gastrointestinal effects," 2013). When COX-1 is blocked, these protective mechanisms are compromised, making the stomach lining more vulnerable to injury ("Vascular and upper </w:t>
      </w:r>
      <w:r w:rsidRPr="00DF6F52">
        <w:rPr>
          <w:rFonts w:ascii="Times New Roman" w:hAnsi="Times New Roman" w:cs="Times New Roman"/>
          <w:sz w:val="24"/>
          <w:szCs w:val="24"/>
        </w:rPr>
        <w:lastRenderedPageBreak/>
        <w:t>gastrointestinal effects," 2013). NSAIDs inhibit COX-1 in a reversible, concentration-dependent manner, meaning the extent of damage often correlates with the dose and duration of use ("Vascular and upper gastrointestinal effects," 2013). However, this risk can be mitigated. Using COX-2-selective NSAIDs, which spare COX-1, or supplementing with synthetic prostaglandins can significantly reduce mucosal injury and lower the risk of ulcer formation ("Vascular and upper gastrointestinal effects," 2013). Not all NSAIDs behave the same way in the body; their chemical properties influence how toxic they can be (Bjarnason et al., 2007). These drugs can damage the stomach lining by disturbing the protective mucus layer and interfering with the cell’s energy production (Bjarnason et al., 2007). Here is how it happens: when NSAIDs enter the highly acidic environment of the stomach (around pH 2), they become protonated and slip through cell membranes (Bjarnason et al., 2007). Once inside the epithelial cells, which have a neutral pH (around 7.4), they release hydrogen ions (Bjarnason et al., 2007). Trapped in this form, the drugs disrupt mitochondrial function, reduce energy output, and weaken the cell’s defenses (Bjarnason et al., 2007). The result is increased permeability and loss of cellular integrity, setting the stage for ulcer formation (Bjarnason et al., 2007). Certain groups of patients are especially vulnerable: those with a history of ulcers or bleeding, people over 65, individuals taking steroids or anticoagulants, and anyone on high doses or multiple NSAIDs (Narayanan et al., 2018). For them, the risk of NSAID‑induced ulcers is particularly high (Narayanan et al., 2018).</w:t>
      </w:r>
    </w:p>
    <w:p w14:paraId="694A1FEC" w14:textId="77777777" w:rsidR="00132391" w:rsidRDefault="00132391" w:rsidP="00DF6F52">
      <w:pPr>
        <w:rPr>
          <w:rFonts w:ascii="Times New Roman" w:hAnsi="Times New Roman" w:cs="Times New Roman"/>
          <w:b/>
          <w:bCs/>
          <w:sz w:val="24"/>
          <w:szCs w:val="24"/>
        </w:rPr>
      </w:pPr>
      <w:r w:rsidRPr="00DF6F52">
        <w:rPr>
          <w:rFonts w:ascii="Times New Roman" w:hAnsi="Times New Roman" w:cs="Times New Roman"/>
          <w:b/>
          <w:bCs/>
          <w:sz w:val="24"/>
          <w:szCs w:val="24"/>
        </w:rPr>
        <w:t>TREATMENT</w:t>
      </w:r>
      <w:r w:rsidR="00F05C95" w:rsidRPr="00DF6F52">
        <w:rPr>
          <w:rFonts w:ascii="Times New Roman" w:hAnsi="Times New Roman" w:cs="Times New Roman"/>
          <w:b/>
          <w:bCs/>
          <w:sz w:val="24"/>
          <w:szCs w:val="24"/>
        </w:rPr>
        <w:t xml:space="preserve">:  </w:t>
      </w:r>
    </w:p>
    <w:p w14:paraId="250FC138" w14:textId="2BEE4828" w:rsidR="00F05C95" w:rsidRPr="00DF6F52" w:rsidRDefault="00F05C95" w:rsidP="00DF6F52">
      <w:pPr>
        <w:rPr>
          <w:rFonts w:ascii="Times New Roman" w:hAnsi="Times New Roman" w:cs="Times New Roman"/>
          <w:b/>
          <w:bCs/>
          <w:sz w:val="24"/>
          <w:szCs w:val="24"/>
        </w:rPr>
      </w:pPr>
      <w:r w:rsidRPr="00DF6F52">
        <w:rPr>
          <w:rFonts w:ascii="Times New Roman" w:hAnsi="Times New Roman" w:cs="Times New Roman"/>
          <w:b/>
          <w:bCs/>
          <w:sz w:val="24"/>
          <w:szCs w:val="24"/>
        </w:rPr>
        <w:t>Role of Helicobacter pylori in Peptic Ulcer Disease:</w:t>
      </w:r>
    </w:p>
    <w:p w14:paraId="68744347"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 xml:space="preserve">Getting rid of Helicobacter pylori is the cornerstone of healing peptic ulcers and stopping them from coming back (Siddique et al., 2018). But over time, this has become harder to achieve because the bacteria have developed resistance to many antibiotics, turning eradication into a global challenge (Siddique et al., 2018). The very first effective treatment appeared in the 1980s: a two‑week course that combined bismuth, tetracycline, and metronidazole (Siddique et al., 2018). This regimen marked the beginning of targeted therapy against </w:t>
      </w:r>
      <w:r w:rsidRPr="00DF6F52">
        <w:rPr>
          <w:rFonts w:ascii="Times New Roman" w:hAnsi="Times New Roman" w:cs="Times New Roman"/>
          <w:i/>
          <w:iCs/>
          <w:sz w:val="24"/>
          <w:szCs w:val="24"/>
        </w:rPr>
        <w:t>H. pylori</w:t>
      </w:r>
      <w:r w:rsidRPr="00DF6F52">
        <w:rPr>
          <w:rFonts w:ascii="Times New Roman" w:hAnsi="Times New Roman" w:cs="Times New Roman"/>
          <w:sz w:val="24"/>
          <w:szCs w:val="24"/>
        </w:rPr>
        <w:t xml:space="preserve">, laying the foundation for the treatment strategies we use today (Siddique et al., 2018). The usual first-line treatment for Helicobacter pylori infection is a triple therapy: a proton pump inhibitor (PPI) combined with two antibiotics, typically clarithromycin plus either amoxicillin or metronidazole, taken for 7 to 14 days (Malfertheiner et al., 2017). But over the past decade, this approach has become less effective because antibiotic resistance especially to clarithromycin has risen sharply (Fallone et al., 2016). Ideally, doctors should tailor treatment based on antimicrobial susceptibility testing, which shows which antibiotics the bacteria are sensitive to (Fallone et al., 2016). Unfortunately, such testing is </w:t>
      </w:r>
      <w:r w:rsidRPr="00DF6F52">
        <w:rPr>
          <w:rFonts w:ascii="Times New Roman" w:hAnsi="Times New Roman" w:cs="Times New Roman"/>
          <w:sz w:val="24"/>
          <w:szCs w:val="24"/>
        </w:rPr>
        <w:lastRenderedPageBreak/>
        <w:t xml:space="preserve">not always available in routine practice. In those cases, the choice of therapy should reflect the local resistance rates; for example, if clarithromycin resistance in a region is higher than 15%, clarithromycin-based regimens should no longer be used (Fallone et al., 2016). Treatment success can be improved by prescribing a higher dose of PPI and extending the therapy to a full 14 days, rather than stopping earlier (Dore, Lu, &amp; Graham, 2016). The preferred first-line treatment for Helicobacter pylori infection is usually a 14-day regimen (Sun et al., 2010). One option is a bismuth-based quadruple therapy (a proton pump inhibitor, bismuth salt, tetracycline, and metronidazole) (Sun et al., 2010). For patients who cannot take bismuth, a 14-day concomitant therapy (proton pump inhibitor, clarithromycin, amoxicillin, and metronidazole) is recommended (Sun et al., 2010). Both approaches are highly effective, with eradication rates above 90% (Sun et al., 2010). If the initial treatment fails, a second-line therapy is needed. Importantly, this should avoid using metronidazole or clarithromycin again (Chey et al., 2017). A common alternative is a levofloxacin-based triple therapy (proton pump inhibitor, amoxicillin, and levofloxacin) given for 14 days, which has shown eradication success rates of about 74–81% (Chen et al., 2016). If a patient has already tried a clarithromycin-based regimen as their first-line therapy, the next best option is usually a bismuth quadruple therapy (proton pump inhibitor, bismuth salt, tetracycline, and metronidazole), which achieves eradication rates of about 77–93% (Shiota et al., 2015). Another alternative is a high-dose dual therapy with amoxicillin and a proton pump inhibitor, since </w:t>
      </w:r>
      <w:r w:rsidRPr="00DF6F52">
        <w:rPr>
          <w:rFonts w:ascii="Times New Roman" w:hAnsi="Times New Roman" w:cs="Times New Roman"/>
          <w:i/>
          <w:iCs/>
          <w:sz w:val="24"/>
          <w:szCs w:val="24"/>
        </w:rPr>
        <w:t xml:space="preserve">H. pylori </w:t>
      </w:r>
      <w:r w:rsidRPr="00DF6F52">
        <w:rPr>
          <w:rFonts w:ascii="Times New Roman" w:hAnsi="Times New Roman" w:cs="Times New Roman"/>
          <w:sz w:val="24"/>
          <w:szCs w:val="24"/>
        </w:rPr>
        <w:t>rarely develops resistance to amoxicillin (Shiota et al., 2015). Even with well-established treatment guidelines, about 5–10% of patients continue to have persistent infection (Graham, Lee, &amp; Wu, 2014). The most common reasons are poor adherence to the treatment plan or bacterial resistance to one or more antibiotics (Graham, Lee, &amp; Wu, 2014). In such cases, susceptibility testing is strongly advised to guide the choice of further therapy. If at least three recommended regimens have failed, doctors may consider a salvage option such as rifabutin-based triple therapy (proton pump inhibitor, rifabutin, and amoxicillin) for 10 days (Graham, Lee, &amp; Wu, 2014). This approach has eradication rates of 66–70%, but it comes with important caveats: rifabutin can cause serious side effects, including bone marrow suppression (myelotoxicity) and unusual red-colored bodily secretions (Gisbert &amp; Calvet, 2012).</w:t>
      </w:r>
    </w:p>
    <w:p w14:paraId="4F45F500" w14:textId="6F52FFC5"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b/>
          <w:bCs/>
          <w:sz w:val="24"/>
          <w:szCs w:val="24"/>
        </w:rPr>
        <w:t xml:space="preserve">NSAID-Induced Ulceration and the Role of Proton Pump Inhibitors: </w:t>
      </w:r>
      <w:r w:rsidRPr="00DF6F52">
        <w:rPr>
          <w:rFonts w:ascii="Times New Roman" w:hAnsi="Times New Roman" w:cs="Times New Roman"/>
          <w:sz w:val="24"/>
          <w:szCs w:val="24"/>
        </w:rPr>
        <w:t xml:space="preserve">Several approaches are available to prevent ulcers and complications caused by NSAIDs and aspirin (Khan et al., 2019). These include combining NSAIDs with a proton pump inhibitor (PPI), an H2 receptor antagonist, or misoprostol; using COX-2-selective NSAIDs; or pairing these agents with other gastroprotective drugs (Khan et al., 2019). Among these options, PPIs are the most widely used </w:t>
      </w:r>
      <w:r w:rsidRPr="00DF6F52">
        <w:rPr>
          <w:rFonts w:ascii="Times New Roman" w:hAnsi="Times New Roman" w:cs="Times New Roman"/>
          <w:sz w:val="24"/>
          <w:szCs w:val="24"/>
        </w:rPr>
        <w:lastRenderedPageBreak/>
        <w:t>and effective (Strand, Kim, &amp; Peura, 2017). They work by irreversibly blocking the hydrogen/potassium ATPase enzyme in gastric parietal cells, thereby significantly reducing stomach acid production (Strand, Kim, &amp; Peura, 2017). The best protection against peptic ulcer complications is achieved by combining a COX-2-selective NSAID with a PPI (Strand, Kim, &amp; Peura, 2017). In contrast, standard doses of H2 receptor antagonists are not effective in preventing gastric ulcers (Strand, Kim, &amp; Peura, 2017). Although misoprostol is effective in reducing ulcer risk, its use is limited due to side effects like gastrointestinal discomfort and its potential to induce abortion (daCosta DiBonaventura et al., 2012). When the offending drug is stopped, most gastric ulcers over 85% heal within six to eight weeks of PPI therapy (daCosta DiBonaventura et al., 2012). However, follow-up endoscopy is essential to confirm healing (daCosta DiBonaventura et al., 2012). If the ulcer persists, it’s important to assess whether the patient has been taking their medication as prescribed (daCosta DiBonaventura et al., 2012).</w:t>
      </w:r>
    </w:p>
    <w:p w14:paraId="0306B394" w14:textId="2FF80F5B" w:rsidR="00132391" w:rsidRDefault="00132391" w:rsidP="00DF6F52">
      <w:pPr>
        <w:rPr>
          <w:rFonts w:ascii="Times New Roman" w:hAnsi="Times New Roman" w:cs="Times New Roman"/>
          <w:b/>
          <w:bCs/>
          <w:sz w:val="24"/>
          <w:szCs w:val="24"/>
        </w:rPr>
      </w:pPr>
      <w:r w:rsidRPr="00DF6F52">
        <w:rPr>
          <w:rFonts w:ascii="Times New Roman" w:hAnsi="Times New Roman" w:cs="Times New Roman"/>
          <w:b/>
          <w:bCs/>
          <w:sz w:val="24"/>
          <w:szCs w:val="24"/>
        </w:rPr>
        <w:t xml:space="preserve">PHYTO-THERAPEUTIC AGENTS FOR PEPTIC ULCER MANAGEMENT: </w:t>
      </w:r>
    </w:p>
    <w:p w14:paraId="49D4E4A8" w14:textId="34F3AB7D" w:rsidR="00F05C95" w:rsidRPr="00DF6F52" w:rsidRDefault="00F05C95" w:rsidP="00DF6F52">
      <w:pPr>
        <w:rPr>
          <w:rFonts w:ascii="Times New Roman" w:hAnsi="Times New Roman" w:cs="Times New Roman"/>
          <w:b/>
          <w:bCs/>
          <w:sz w:val="24"/>
          <w:szCs w:val="24"/>
        </w:rPr>
      </w:pPr>
      <w:r w:rsidRPr="00DF6F52">
        <w:rPr>
          <w:rFonts w:ascii="Times New Roman" w:hAnsi="Times New Roman" w:cs="Times New Roman"/>
          <w:sz w:val="24"/>
          <w:szCs w:val="24"/>
        </w:rPr>
        <w:t>Many people living with chronic ulcer conditions often explores complementary and alternative therapies to better manage their symptoms and improve their quality of life (Langmead &amp; Rampton, 2001). In much of sub-Saharan Africa, herbal medicine remains a common choice for treating stomach ulcers (Langmead &amp; Rampton, 2001). This widespread use is rooted in cultural traditions, accessibility, and trust in natural remedies (Langmead &amp; Rampton, 2001). However, despite their popularity, many of these herbal treatments still lack well-defined pharmacological profiles, leaving questions about their safety and effectiveness unanswered (Langmead &amp; Rampton, 2001).</w:t>
      </w:r>
    </w:p>
    <w:p w14:paraId="0754CAD7" w14:textId="5A71E8A1" w:rsidR="00F05C95" w:rsidRPr="00DF6F52" w:rsidRDefault="00F05C95" w:rsidP="00DF6F52">
      <w:pPr>
        <w:rPr>
          <w:rFonts w:ascii="Times New Roman" w:hAnsi="Times New Roman" w:cs="Times New Roman"/>
          <w:b/>
          <w:bCs/>
          <w:sz w:val="24"/>
          <w:szCs w:val="24"/>
        </w:rPr>
      </w:pPr>
      <w:r w:rsidRPr="00DF6F52">
        <w:rPr>
          <w:rFonts w:ascii="Times New Roman" w:hAnsi="Times New Roman" w:cs="Times New Roman"/>
          <w:b/>
          <w:bCs/>
          <w:i/>
          <w:iCs/>
          <w:sz w:val="24"/>
          <w:szCs w:val="24"/>
        </w:rPr>
        <w:t xml:space="preserve">Anogeissus latifolia </w:t>
      </w:r>
      <w:r w:rsidRPr="00DF6F52">
        <w:rPr>
          <w:rFonts w:ascii="Times New Roman" w:hAnsi="Times New Roman" w:cs="Times New Roman"/>
          <w:b/>
          <w:bCs/>
          <w:sz w:val="24"/>
          <w:szCs w:val="24"/>
        </w:rPr>
        <w:t xml:space="preserve">(Dhaura or Bakli): </w:t>
      </w:r>
    </w:p>
    <w:p w14:paraId="5AF64A5C"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Rather than relying solely on the generalized effects of crude extracts, contemporary pharmacological evaluation of Anogeissus latifolia highlights the therapeutic potential of its isolated bioactive constituents, primarily gallic acid and ellagic acid (Govindarajan et al., 2006). These polyphenolic compounds exhibit potent gastroprotective properties mediated through specific molecular pathways, including the targeted inhibition of 5-lipoxygenase, an enzyme critical to the inflammatory cascade (Govindarajan et al., 2006). By systematically mitigating oxidative stress and enhancing mucosal defense mechanisms, these constituents offer a targeted, molecular approach to ulcer management that transcends basic symptomatic relief (Govindarajan et al., 2006).</w:t>
      </w:r>
    </w:p>
    <w:p w14:paraId="358F845D" w14:textId="5EF648C5" w:rsidR="00F05C95" w:rsidRPr="00DF6F52" w:rsidRDefault="00F05C95" w:rsidP="00DF6F52">
      <w:pPr>
        <w:rPr>
          <w:rFonts w:ascii="Times New Roman" w:hAnsi="Times New Roman" w:cs="Times New Roman"/>
          <w:b/>
          <w:bCs/>
          <w:sz w:val="24"/>
          <w:szCs w:val="24"/>
        </w:rPr>
      </w:pPr>
      <w:r w:rsidRPr="00DF6F52">
        <w:rPr>
          <w:rFonts w:ascii="Times New Roman" w:hAnsi="Times New Roman" w:cs="Times New Roman"/>
          <w:b/>
          <w:bCs/>
          <w:i/>
          <w:iCs/>
          <w:sz w:val="24"/>
          <w:szCs w:val="24"/>
        </w:rPr>
        <w:t>Alchornea castaneaefolia</w:t>
      </w:r>
      <w:r w:rsidRPr="00DF6F52">
        <w:rPr>
          <w:rFonts w:ascii="Times New Roman" w:hAnsi="Times New Roman" w:cs="Times New Roman"/>
          <w:b/>
          <w:bCs/>
          <w:sz w:val="24"/>
          <w:szCs w:val="24"/>
        </w:rPr>
        <w:t xml:space="preserve"> (Iporuru, Macochihua): </w:t>
      </w:r>
    </w:p>
    <w:p w14:paraId="5DD5AE90"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lastRenderedPageBreak/>
        <w:t>Similarly, the gastroprotective efficacy of Alchornea castaneaefolia is increasingly attributed to its flavonoid-enriched fractions rather than its crude hydroethanolic extracts. Mechanistic investigations reveal that these isolated flavonoids counteract NSAID-induced mucosal damage by significantly upregulating prostaglandin E₂ synthesis, effectively reversing the suppression typically caused by indomethacin. Furthermore, they induce marked endocrine shifts specifically, a profound reduction in serum gastrin coupled with a substantial elevation in somatostatin levels. This suggests a sophisticated dual regulatory mechanism that fortifies mucosal defense rather than merely inhibiting acid secretion directly (Prayoga et al., 2024).</w:t>
      </w:r>
    </w:p>
    <w:p w14:paraId="6996AECA" w14:textId="29529711" w:rsidR="00F05C95" w:rsidRPr="00DF6F52" w:rsidRDefault="00F05C95" w:rsidP="00DF6F52">
      <w:pPr>
        <w:rPr>
          <w:rFonts w:ascii="Times New Roman" w:hAnsi="Times New Roman" w:cs="Times New Roman"/>
          <w:b/>
          <w:bCs/>
          <w:sz w:val="24"/>
          <w:szCs w:val="24"/>
          <w:lang w:val="fi-FI"/>
        </w:rPr>
      </w:pPr>
      <w:r w:rsidRPr="00DF6F52">
        <w:rPr>
          <w:rFonts w:ascii="Times New Roman" w:hAnsi="Times New Roman" w:cs="Times New Roman"/>
          <w:b/>
          <w:bCs/>
          <w:i/>
          <w:iCs/>
          <w:sz w:val="24"/>
          <w:szCs w:val="24"/>
          <w:lang w:val="fi-FI"/>
        </w:rPr>
        <w:t>Decalepis salicifolia</w:t>
      </w:r>
      <w:r w:rsidRPr="00DF6F52">
        <w:rPr>
          <w:rFonts w:ascii="Times New Roman" w:hAnsi="Times New Roman" w:cs="Times New Roman"/>
          <w:b/>
          <w:bCs/>
          <w:sz w:val="24"/>
          <w:szCs w:val="24"/>
          <w:lang w:val="fi-FI"/>
        </w:rPr>
        <w:t xml:space="preserve"> (Mahali Kand,</w:t>
      </w:r>
      <w:r w:rsidRPr="00DF6F52">
        <w:rPr>
          <w:rFonts w:ascii="Times New Roman" w:eastAsia="Times New Roman" w:hAnsi="Times New Roman" w:cs="Times New Roman"/>
          <w:b/>
          <w:bCs/>
          <w:sz w:val="24"/>
          <w:szCs w:val="24"/>
          <w:lang w:val="fi-FI" w:eastAsia="en-IN" w:bidi="hi-IN"/>
        </w:rPr>
        <w:t xml:space="preserve"> </w:t>
      </w:r>
      <w:r w:rsidRPr="00DF6F52">
        <w:rPr>
          <w:rFonts w:ascii="Times New Roman" w:hAnsi="Times New Roman" w:cs="Times New Roman"/>
          <w:b/>
          <w:bCs/>
          <w:sz w:val="24"/>
          <w:szCs w:val="24"/>
          <w:lang w:val="fi-FI"/>
        </w:rPr>
        <w:t>Mahali Kizhangu):</w:t>
      </w:r>
    </w:p>
    <w:p w14:paraId="54BC6B79"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Utleria salicifolia Bedd. Ex. Hook. f. is an ethnobotanical plant found in the southwestern Ghats of India. The 50% ethanolic extract of its rhizome shows dose‑dependent anti‑ulcer activity (Rao et al., 2004). Mucus and bicarbonate secretion form the first line of defense against ulcer‑causing agents (Rao et al., 2004). The extract significantly (P &lt; 0.001) increased gastric wall mucus in ethanol‑induced ulcers, confirming its cytoprotective activity (Rao et al., 2004). At doses of 100 and 200 mg/kg, the rhizome extract also protected against cysteamine‑induced duodenal ulcers in rats, with 68% and 90% protection, respectively (Rao et al., 2004). Lipid peroxidation serves as an indicator of reactive oxygen species (ROS) generation in tissues (Fridovich, 1986). Free radicals cause cell damage through peroxidation of membrane lipids, DNA strand breaks, and protein denaturation, ultimately leading to cellular injury (Fridovich, 1986). The extract of Utleria salicifolia showed strong antioxidant activity in cold‑restraint stress–induced ulcers (Rao et al., 2004). It boosted the levels of superoxide dismutase (SOD), a key protective enzyme, while reducing harmful lipid peroxidation compared to untreated ulcer controls (Rao et al., 2004). Importantly, it also lowered the elevated plasma corticosterone levels that typically rise under stress (Rao et al., 2004). These findings suggest that the anti‑ulcer effect of Utleria salicifolia is linked to strengthening the body’s first line of defense through free radical scavenging (Rao et al., 2004). The close connection between its antioxidant action and the regulation of stress hormones (like corticosterone) highlights how both biochemical defense systems and endocrine responses contribute to its gastroprotective effect (Rao et al., 2004).</w:t>
      </w:r>
    </w:p>
    <w:p w14:paraId="5B73F6F8" w14:textId="607A376C" w:rsidR="00F05C95" w:rsidRPr="00DF6F52" w:rsidRDefault="00F05C95" w:rsidP="00DF6F52">
      <w:pPr>
        <w:rPr>
          <w:rFonts w:ascii="Times New Roman" w:hAnsi="Times New Roman" w:cs="Times New Roman"/>
          <w:b/>
          <w:bCs/>
          <w:sz w:val="24"/>
          <w:szCs w:val="24"/>
        </w:rPr>
      </w:pPr>
      <w:r w:rsidRPr="00DF6F52">
        <w:rPr>
          <w:rFonts w:ascii="Times New Roman" w:hAnsi="Times New Roman" w:cs="Times New Roman"/>
          <w:b/>
          <w:bCs/>
          <w:i/>
          <w:iCs/>
          <w:sz w:val="24"/>
          <w:szCs w:val="24"/>
        </w:rPr>
        <w:t>Solanum nigrum Linn</w:t>
      </w:r>
      <w:r w:rsidRPr="00DF6F52">
        <w:rPr>
          <w:rFonts w:ascii="Times New Roman" w:hAnsi="Times New Roman" w:cs="Times New Roman"/>
          <w:b/>
          <w:bCs/>
          <w:sz w:val="24"/>
          <w:szCs w:val="24"/>
        </w:rPr>
        <w:t xml:space="preserve"> (Black Nightshade,</w:t>
      </w:r>
      <w:r w:rsidRPr="00DF6F52">
        <w:rPr>
          <w:rFonts w:ascii="Times New Roman" w:eastAsia="Times New Roman" w:hAnsi="Times New Roman" w:cs="Times New Roman"/>
          <w:i/>
          <w:iCs/>
          <w:sz w:val="24"/>
          <w:szCs w:val="24"/>
          <w:lang w:eastAsia="en-IN" w:bidi="hi-IN"/>
        </w:rPr>
        <w:t xml:space="preserve"> </w:t>
      </w:r>
      <w:r w:rsidRPr="00DF6F52">
        <w:rPr>
          <w:rFonts w:ascii="Times New Roman" w:hAnsi="Times New Roman" w:cs="Times New Roman"/>
          <w:b/>
          <w:bCs/>
          <w:sz w:val="24"/>
          <w:szCs w:val="24"/>
        </w:rPr>
        <w:t>Makoi</w:t>
      </w:r>
      <w:r w:rsidRPr="00DF6F52">
        <w:rPr>
          <w:rFonts w:ascii="Times New Roman" w:hAnsi="Times New Roman" w:cs="Times New Roman"/>
          <w:b/>
          <w:bCs/>
          <w:i/>
          <w:iCs/>
          <w:sz w:val="24"/>
          <w:szCs w:val="24"/>
        </w:rPr>
        <w:t>):</w:t>
      </w:r>
    </w:p>
    <w:p w14:paraId="0AD66529" w14:textId="77DFA1AE" w:rsidR="00F05C95" w:rsidRPr="00132391" w:rsidRDefault="00F05C95" w:rsidP="00DF6F52">
      <w:pPr>
        <w:rPr>
          <w:rFonts w:ascii="Times New Roman" w:hAnsi="Times New Roman" w:cs="Times New Roman"/>
          <w:b/>
          <w:bCs/>
          <w:sz w:val="24"/>
          <w:szCs w:val="24"/>
        </w:rPr>
      </w:pPr>
      <w:r w:rsidRPr="00DF6F52">
        <w:rPr>
          <w:rFonts w:ascii="Times New Roman" w:hAnsi="Times New Roman" w:cs="Times New Roman"/>
          <w:sz w:val="24"/>
          <w:szCs w:val="24"/>
        </w:rPr>
        <w:t xml:space="preserve">Solanum nigrum Linn., better known as black nightshade, has a long history in Ayurveda as a remedy for gastric ulcers (Akhtar &amp; Munir, 1989). Modern research supports this traditional use, showing that extracts from its fruits and aerial parts can protect the stomach and promote healing in several experimental ulcer models (Jainu &amp; Devi, 2006). When given at higher doses, the fruit </w:t>
      </w:r>
      <w:r w:rsidRPr="00DF6F52">
        <w:rPr>
          <w:rFonts w:ascii="Times New Roman" w:hAnsi="Times New Roman" w:cs="Times New Roman"/>
          <w:sz w:val="24"/>
          <w:szCs w:val="24"/>
        </w:rPr>
        <w:lastRenderedPageBreak/>
        <w:t>extract significantly reduced ulcer formation caused by stress, indomethacin, pyloric ligation, and ethanol exposure with protection rates ranging from about 70% to 80% (Jainu &amp; Devi, 2006). It also accelerated healing in chronic ulcers induced by acetic acid (Jainu &amp; Devi, 2006). Mechanistically, the extract works by lowering gastric acid and pepsin secretion, while also boosting antioxidant defenses (Akhtar &amp; Munir, 1989; Jainu &amp; Devi, 2004). In ethanol‑induced ulcers, it reduced harmful free radical activity and lipid peroxidation, both of which contribute to tissue damage (Jainu &amp; Devi, 2004). Importantly, pretreatment with the extract suppressed gastrin the hormone that drives acid secretion, histamine release, and gastric cell proliferation and inhibited H+/K+-ATPase, the proton pump responsible for acid production (Jainu &amp; Devi, 2006). Beyond its ulcer‑protective role, Solanum nigrum also shows antioxidant, hepatoprotective, and antitumor activities, making it a plant of broad pharmacological interest (Son et al., 2003).</w:t>
      </w:r>
      <w:r w:rsidRPr="00DF6F52">
        <w:rPr>
          <w:rFonts w:ascii="Times New Roman" w:hAnsi="Times New Roman" w:cs="Times New Roman"/>
          <w:b/>
          <w:bCs/>
          <w:sz w:val="24"/>
          <w:szCs w:val="24"/>
        </w:rPr>
        <w:t xml:space="preserve">  </w:t>
      </w:r>
    </w:p>
    <w:p w14:paraId="5DF379EF" w14:textId="4BAD18AE" w:rsidR="00F05C95" w:rsidRPr="00DF6F52" w:rsidRDefault="00F05C95" w:rsidP="00DF6F52">
      <w:pPr>
        <w:rPr>
          <w:rFonts w:ascii="Times New Roman" w:hAnsi="Times New Roman" w:cs="Times New Roman"/>
          <w:b/>
          <w:bCs/>
          <w:sz w:val="24"/>
          <w:szCs w:val="24"/>
        </w:rPr>
      </w:pPr>
      <w:r w:rsidRPr="00DF6F52">
        <w:rPr>
          <w:rFonts w:ascii="Times New Roman" w:hAnsi="Times New Roman" w:cs="Times New Roman"/>
          <w:b/>
          <w:bCs/>
          <w:i/>
          <w:iCs/>
          <w:sz w:val="24"/>
          <w:szCs w:val="24"/>
        </w:rPr>
        <w:t>Ocimum tenuiflorum</w:t>
      </w:r>
      <w:r w:rsidRPr="00DF6F52">
        <w:rPr>
          <w:rFonts w:ascii="Times New Roman" w:hAnsi="Times New Roman" w:cs="Times New Roman"/>
          <w:b/>
          <w:bCs/>
          <w:sz w:val="24"/>
          <w:szCs w:val="24"/>
        </w:rPr>
        <w:t xml:space="preserve"> (Holy Basil, Sacred Basil, Hot Basil):</w:t>
      </w:r>
    </w:p>
    <w:p w14:paraId="6099ADD3"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 xml:space="preserve">Ocimum sanctum Linn., commonly known as Tulsi, is one of the most revered medicinal plants in Ayurveda. Beyond its spiritual significance, Tulsi has been scientifically reported to possess a wide spectrum of therapeutic properties, including anti-carcinogenic, anthelmintic, anti-rheumatic, anti-stress, antibacterial, antiseptic, antioxidant, and antifertility activities (Kiran, Rohilla, &amp; Kalra, 2023). Among its many benefits, Tulsi demonstrates remarkable antiulcerogenic activity (Kiran, Rohilla, &amp; Kalra, 2023). Experimental studies using ethanolic leaf extracts have shown that Tulsi provides significant protection against gastric ulcers (Prayoga et al., 2024). At a dose of 100 mg/kg, the extract reduced ulcer formation with protection indices of 65.07% (cold-restraint stress), 63.49% (aspirin-induced), 53.87% (alcohol-induced), 62.06% (pylorus ligation), and 61.76% (histamine-induced ulcers) (Prayoga et al., 2024). In the pylorus ligation model, ulcers typically arise due to excessive accumulation of gastric acid and pepsin, leading to autodigestion of the mucosa and free radical generation (Prayoga et al., 2024). Tulsi extract was found to reduce both free and total acidity, lower peptic activity, and enhance mucus secretion, thereby strengthening the gastric defense system (Prayoga et al., 2024). The incidence of ulcers across different models is often linked to increased acid secretion, weakened mucosal defenses, and oxidative stress (Kiran, Rohilla, &amp; Kalra, 2023). Tulsi’s antiulcer effect appears to work through dual mechanisms: antisecretory action (reducing acid and pepsin levels) and cytoprotective action (enhancing mucus and epithelial regeneration) (Prayoga et al., 2024). In chronic ulcer models, such as those induced by acetic acid, Tulsi accelerated healing by promoting regeneration of glandular structures and migration of epithelial cells to cover the ulcer crater (Prayoga et al., 2024). Interestingly, the fixed oil derived from Tulsi seeds also exhibited potent antiulcer activity (Kiran, </w:t>
      </w:r>
      <w:r w:rsidRPr="00DF6F52">
        <w:rPr>
          <w:rFonts w:ascii="Times New Roman" w:hAnsi="Times New Roman" w:cs="Times New Roman"/>
          <w:sz w:val="24"/>
          <w:szCs w:val="24"/>
        </w:rPr>
        <w:lastRenderedPageBreak/>
        <w:t>Rohilla, &amp; Kalra, 2023). It significantly reduced ulcer indices in a dose-dependent manner across multiple models, including those induced by aspirin, indomethacin, alcohol, histamine, reserpine, serotonin, stress, and combined aspirin plus pylorus ligation (Kiran, Rohilla, &amp; Kalra, 2023).</w:t>
      </w:r>
    </w:p>
    <w:p w14:paraId="02AE55FE" w14:textId="594A8DDD" w:rsidR="00F05C95" w:rsidRPr="00DF6F52" w:rsidRDefault="00F05C95" w:rsidP="00DF6F52">
      <w:pPr>
        <w:rPr>
          <w:rFonts w:ascii="Times New Roman" w:hAnsi="Times New Roman" w:cs="Times New Roman"/>
          <w:b/>
          <w:bCs/>
          <w:i/>
          <w:iCs/>
          <w:sz w:val="24"/>
          <w:szCs w:val="24"/>
        </w:rPr>
      </w:pPr>
      <w:r w:rsidRPr="00DF6F52">
        <w:rPr>
          <w:rFonts w:ascii="Times New Roman" w:hAnsi="Times New Roman" w:cs="Times New Roman"/>
          <w:b/>
          <w:bCs/>
          <w:i/>
          <w:iCs/>
          <w:sz w:val="24"/>
          <w:szCs w:val="24"/>
        </w:rPr>
        <w:t xml:space="preserve">Asparagus sarmentosus </w:t>
      </w:r>
      <w:r w:rsidRPr="00DF6F52">
        <w:rPr>
          <w:rFonts w:ascii="Times New Roman" w:hAnsi="Times New Roman" w:cs="Times New Roman"/>
          <w:b/>
          <w:bCs/>
          <w:sz w:val="24"/>
          <w:szCs w:val="24"/>
        </w:rPr>
        <w:t>Roxb (Shatavari,</w:t>
      </w:r>
      <w:r w:rsidRPr="00DF6F52">
        <w:rPr>
          <w:rFonts w:ascii="Times New Roman" w:eastAsia="Times New Roman" w:hAnsi="Times New Roman" w:cs="Times New Roman"/>
          <w:b/>
          <w:bCs/>
          <w:sz w:val="24"/>
          <w:szCs w:val="24"/>
          <w:lang w:eastAsia="en-IN" w:bidi="hi-IN"/>
        </w:rPr>
        <w:t xml:space="preserve"> </w:t>
      </w:r>
      <w:r w:rsidRPr="00DF6F52">
        <w:rPr>
          <w:rFonts w:ascii="Times New Roman" w:hAnsi="Times New Roman" w:cs="Times New Roman"/>
          <w:b/>
          <w:bCs/>
          <w:sz w:val="24"/>
          <w:szCs w:val="24"/>
        </w:rPr>
        <w:t>Wild Asparagus</w:t>
      </w:r>
      <w:r w:rsidRPr="00DF6F52">
        <w:rPr>
          <w:rFonts w:ascii="Times New Roman" w:hAnsi="Times New Roman" w:cs="Times New Roman"/>
          <w:b/>
          <w:bCs/>
          <w:i/>
          <w:iCs/>
          <w:sz w:val="24"/>
          <w:szCs w:val="24"/>
        </w:rPr>
        <w:t>)</w:t>
      </w:r>
      <w:r w:rsidRPr="00DF6F52">
        <w:rPr>
          <w:rFonts w:ascii="Times New Roman" w:hAnsi="Times New Roman" w:cs="Times New Roman"/>
          <w:b/>
          <w:bCs/>
          <w:sz w:val="24"/>
          <w:szCs w:val="24"/>
        </w:rPr>
        <w:t>:</w:t>
      </w:r>
    </w:p>
    <w:p w14:paraId="752598AF"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The methanolic extract of fresh roots of Asparagus racemosus Willd. was evaluated for its antiulcer potential across several experimental models (Prayoga et al., 2024). The extract demonstrated significant protection against gastric ulcers induced by cold‑restraint stress, pyloric ligation, aspirin plus pyloric ligation, acetic acid, and cysteamine‑induced duodenal ulcers (Prayoga et al., 2024). However, it was ineffective in models involving aspirin alone and ethanol‑induced ulcers. In pylorus‑ligated ulcers, the extract increased mucopolysaccharide content, leading to a rise in total carbohydrates (Prayoga et al., 2024). Importantly, this protective effect was achieved without reducing gastric acid or pepsin secretion and without influencing cell proliferation (Prayoga et al., 2024). This suggests that the gastroprotection of Asparagus racemosus in this model is primarily cytoprotective, rather than antisecretory or acid‑neutralizing (Prayoga et al., 2024). Its lack of efficacy against aspirin‑induced ulcers may be explained by the extract’s inability to counteract the loss of prostaglandin‑mediated protection and the absence of any effect on cell proliferation both critical factors in aspirin‑related mucosal damage (Prayoga et al., 2024). Interestingly, in the aspirin plus pylorus ligation model, the extract still showed activity, likely due to its cytoprotective properties in addition to supporting prostaglandin synthesis. Oxidative stress was identified as a key contributor to stress‑induced ulcers. Treatment with the extract significantly reduced lipid peroxidation, correlating with its antioxidant activity (Prayoga et al., 2024). Supporting this, the polysaccharide fraction of the plant has been reported to exhibit strong in vitro antioxidant effects (Prayoga et al., 2024). Finally, Asparagus racemosus also promoted healing of chronic gastric ulcers induced by acetic acid, further validating its role as a natural gastroprotective agent (Prayoga et al., 2024).</w:t>
      </w:r>
    </w:p>
    <w:p w14:paraId="3E5F603F" w14:textId="1C3148A7" w:rsidR="00F05C95" w:rsidRPr="00DF6F52" w:rsidRDefault="00F05C95" w:rsidP="00DF6F52">
      <w:pPr>
        <w:rPr>
          <w:rFonts w:ascii="Times New Roman" w:hAnsi="Times New Roman" w:cs="Times New Roman"/>
          <w:b/>
          <w:bCs/>
          <w:i/>
          <w:iCs/>
          <w:sz w:val="24"/>
          <w:szCs w:val="24"/>
        </w:rPr>
      </w:pPr>
      <w:r w:rsidRPr="00DF6F52">
        <w:rPr>
          <w:rFonts w:ascii="Times New Roman" w:hAnsi="Times New Roman" w:cs="Times New Roman"/>
          <w:b/>
          <w:bCs/>
          <w:i/>
          <w:iCs/>
          <w:sz w:val="24"/>
          <w:szCs w:val="24"/>
        </w:rPr>
        <w:t>Curcuma domestica</w:t>
      </w:r>
      <w:r w:rsidRPr="00DF6F52">
        <w:rPr>
          <w:rFonts w:ascii="Times New Roman" w:hAnsi="Times New Roman" w:cs="Times New Roman"/>
          <w:b/>
          <w:bCs/>
          <w:sz w:val="24"/>
          <w:szCs w:val="24"/>
        </w:rPr>
        <w:t xml:space="preserve"> </w:t>
      </w:r>
      <w:r w:rsidRPr="00DF6F52">
        <w:rPr>
          <w:rFonts w:ascii="Times New Roman" w:hAnsi="Times New Roman" w:cs="Times New Roman"/>
          <w:b/>
          <w:bCs/>
          <w:i/>
          <w:iCs/>
          <w:sz w:val="24"/>
          <w:szCs w:val="24"/>
        </w:rPr>
        <w:t xml:space="preserve">Valeton </w:t>
      </w:r>
      <w:r w:rsidRPr="00DF6F52">
        <w:rPr>
          <w:rFonts w:ascii="Times New Roman" w:hAnsi="Times New Roman" w:cs="Times New Roman"/>
          <w:b/>
          <w:bCs/>
          <w:sz w:val="24"/>
          <w:szCs w:val="24"/>
        </w:rPr>
        <w:t>(Turmeric</w:t>
      </w:r>
      <w:r w:rsidRPr="00DF6F52">
        <w:rPr>
          <w:rFonts w:ascii="Times New Roman" w:hAnsi="Times New Roman" w:cs="Times New Roman"/>
          <w:sz w:val="24"/>
          <w:szCs w:val="24"/>
        </w:rPr>
        <w:t xml:space="preserve">, </w:t>
      </w:r>
      <w:r w:rsidRPr="00DF6F52">
        <w:rPr>
          <w:rFonts w:ascii="Times New Roman" w:hAnsi="Times New Roman" w:cs="Times New Roman"/>
          <w:b/>
          <w:bCs/>
          <w:sz w:val="24"/>
          <w:szCs w:val="24"/>
        </w:rPr>
        <w:t>Indian Saffron)</w:t>
      </w:r>
    </w:p>
    <w:p w14:paraId="6BFC263A"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 xml:space="preserve">Medicinal plants with antioxidant and anti‑inflammatory properties have demonstrated protective effects in gastroesophageal reflux disease (GERD) (Salehi et al., 2017). Among the most studied are Curcuma longa (turmeric), Panax quinquefolium (American ginseng), Artemisia asiatica, and Lonicera japonica (Salehi et al., 2017). Their beneficial actions extend beyond general antioxidant activity, involving mechanisms such as the regulation of inflammatory gene expression, enhancement of gastric mucus, suppression of gastric acid secretion, support of lower esophageal sphincter tone, and inhibition of pro‑inflammatory cytokines (Salehi et al., 2017). For example, </w:t>
      </w:r>
      <w:r w:rsidRPr="00DF6F52">
        <w:rPr>
          <w:rFonts w:ascii="Times New Roman" w:hAnsi="Times New Roman" w:cs="Times New Roman"/>
          <w:sz w:val="24"/>
          <w:szCs w:val="24"/>
        </w:rPr>
        <w:lastRenderedPageBreak/>
        <w:t>Panax quinquefolium has been shown to down‑regulate ICAM‑1 and CINC‑2β, proteins central to acute inflammation (Salehi et al., 2017). Curcuma longa and Morus alba improve gastric mucus function, while both plants, along with acidinol syrup, also reduce gastric acid secretion (Salehi et al., 2017). Preparations such as Salvia miltiorrhiza and STW 5 increase tonic contractions of the lower esophageal sphincter, thereby limiting reflux, and STW 5 additionally suppresses cytokines including IL‑1β and TNF‑α (Salehi et al., 2017). Experimental evidence supports these mechanisms (Oh, 2001). In rat models, pretreatment with Artemisia asiatica extract (DA‑9601) reduced esophageal wall thickening and ulceration more effectively than ranitidine (Oh, 2001). Mahattanadul’s study demonstrated that the rhizome of Curcuma longa protected against acute acid reflux esophagitis, though it was less effective in chronic models (Mahattanadul et al., 2006). Interestingly, when combined with dimethyl sulfoxide, an antioxidant compound, turmeric reduced ulcer severity to levels comparable with lansoprazole (Mahattanadul et al., 2006). Unlike curcumin, however, lansoprazole tended to worsen histopathological changes compared to controls, highlighting the unique role of curcumin’s antioxidant and anti‑inflammatory activity in GERD protection (Mahattanadul et al., 2006). Herbal medicine also shows promise in modulating Helicobacter pylori infection, a major contributor to gastric disease (Salehi et al., 2017). Taken together, these findings suggest that plant‑derived compounds such as Curcuma longa, Panax quinquefolium, Artemisia asiatica, and Lonicera japonica hold strong potential as natural pharmaceutical candidates for the prevention and management of gastric disorders (Salehi et al., 2017).</w:t>
      </w:r>
    </w:p>
    <w:p w14:paraId="43537B00" w14:textId="29BD01B1" w:rsidR="00F05C95" w:rsidRPr="00DF6F52" w:rsidRDefault="00F05C95" w:rsidP="00DF6F52">
      <w:pPr>
        <w:rPr>
          <w:rFonts w:ascii="Times New Roman" w:hAnsi="Times New Roman" w:cs="Times New Roman"/>
          <w:b/>
          <w:bCs/>
          <w:sz w:val="24"/>
          <w:szCs w:val="24"/>
        </w:rPr>
      </w:pPr>
      <w:r w:rsidRPr="00DF6F52">
        <w:rPr>
          <w:rFonts w:ascii="Times New Roman" w:hAnsi="Times New Roman" w:cs="Times New Roman"/>
          <w:b/>
          <w:bCs/>
          <w:sz w:val="24"/>
          <w:szCs w:val="24"/>
        </w:rPr>
        <w:t>Translational Challenges and Pharmacokinetic Limitations of Phytotherapeutics</w:t>
      </w:r>
    </w:p>
    <w:p w14:paraId="74A2999F"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Despite the promising preclinical data surrounding plant-derived compounds, their successful translation into mainstream clinical practice is currently hindered by significant biopharmaceutical limitations (Prayoga et al., 2024). Many active constituents, particularly flavonoids, tannins, and complex polyphenols, suffer from poor aqueous solubility, extensive presystemic hepatic metabolism, and consequently, low systemic bioavailability (Kuna et al., 2019). Furthermore, the reliance on chemically induced acute ulcer models in rodents often fails to accurately replicate the chronic, multifactorial pathophysiology of human peptic ulcer disease (Prayoga et al., 2024). Additionally, the lack of rigorous chemical standardization such as validated HPLC or LC-MS/MS profiling of crude extracts introduces critical batch-to-batch variability (Langmead &amp; Rampton, 2001). Without overcoming these pharmacokinetic hurdles and standardizing extraction protocols, the reproducibility required for rigorous clinical efficacy and regulatory approval remains out of reach (Kuna et al., 2019).</w:t>
      </w:r>
    </w:p>
    <w:p w14:paraId="1CEC54D0" w14:textId="007F8612" w:rsidR="00F05C95" w:rsidRPr="00DF6F52" w:rsidRDefault="00132391" w:rsidP="00DF6F52">
      <w:pPr>
        <w:rPr>
          <w:rFonts w:ascii="Times New Roman" w:hAnsi="Times New Roman" w:cs="Times New Roman"/>
          <w:b/>
          <w:bCs/>
          <w:sz w:val="24"/>
          <w:szCs w:val="24"/>
        </w:rPr>
      </w:pPr>
      <w:r w:rsidRPr="00DF6F52">
        <w:rPr>
          <w:rFonts w:ascii="Times New Roman" w:hAnsi="Times New Roman" w:cs="Times New Roman"/>
          <w:b/>
          <w:bCs/>
          <w:sz w:val="24"/>
          <w:szCs w:val="24"/>
        </w:rPr>
        <w:lastRenderedPageBreak/>
        <w:t xml:space="preserve">MEDICATION THERAPIES: </w:t>
      </w:r>
    </w:p>
    <w:p w14:paraId="317E6058"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 xml:space="preserve">Peptic ulcers are usually treated with medicines that work in three main ways: they lower the amount of acid in the stomach, help the stomach lining protect itself, and get rid of infections like </w:t>
      </w:r>
      <w:r w:rsidRPr="00DF6F52">
        <w:rPr>
          <w:rFonts w:ascii="Times New Roman" w:hAnsi="Times New Roman" w:cs="Times New Roman"/>
          <w:i/>
          <w:iCs/>
          <w:sz w:val="24"/>
          <w:szCs w:val="24"/>
        </w:rPr>
        <w:t xml:space="preserve">H. pylori </w:t>
      </w:r>
      <w:r w:rsidRPr="00DF6F52">
        <w:rPr>
          <w:rFonts w:ascii="Times New Roman" w:hAnsi="Times New Roman" w:cs="Times New Roman"/>
          <w:sz w:val="24"/>
          <w:szCs w:val="24"/>
        </w:rPr>
        <w:t xml:space="preserve">(Kuna et al., 2019). The main types of medicines used include proton pump inhibitors (PPIs) and histamine-2 receptor blockers (H2RAs), which both reduce acid; antacids, which quickly neutralize acid; protective agents that coat and shield the stomach lining; prostaglandin drugs that boost natural defenses; and antibiotics that target </w:t>
      </w:r>
      <w:r w:rsidRPr="00DF6F52">
        <w:rPr>
          <w:rFonts w:ascii="Times New Roman" w:hAnsi="Times New Roman" w:cs="Times New Roman"/>
          <w:i/>
          <w:iCs/>
          <w:sz w:val="24"/>
          <w:szCs w:val="24"/>
        </w:rPr>
        <w:t xml:space="preserve">H. pylori </w:t>
      </w:r>
      <w:r w:rsidRPr="00DF6F52">
        <w:rPr>
          <w:rFonts w:ascii="Times New Roman" w:hAnsi="Times New Roman" w:cs="Times New Roman"/>
          <w:sz w:val="24"/>
          <w:szCs w:val="24"/>
        </w:rPr>
        <w:t>bacteria (Kuna et al., 2019). Together, these treatments aim to ease symptoms, heal the ulcer, and prevent it from coming back (Kuna et al., 2019).</w:t>
      </w:r>
    </w:p>
    <w:p w14:paraId="5842CCF6" w14:textId="37471E95" w:rsidR="00F05C95" w:rsidRPr="00DF6F52" w:rsidRDefault="00F05C95" w:rsidP="00DF6F52">
      <w:pPr>
        <w:rPr>
          <w:rFonts w:ascii="Times New Roman" w:hAnsi="Times New Roman" w:cs="Times New Roman"/>
          <w:b/>
          <w:bCs/>
          <w:sz w:val="24"/>
          <w:szCs w:val="24"/>
          <w:lang w:val="sv-SE"/>
        </w:rPr>
      </w:pPr>
      <w:r w:rsidRPr="00DF6F52">
        <w:rPr>
          <w:rFonts w:ascii="Times New Roman" w:hAnsi="Times New Roman" w:cs="Times New Roman"/>
          <w:b/>
          <w:bCs/>
          <w:sz w:val="24"/>
          <w:szCs w:val="24"/>
          <w:lang w:val="sv-SE"/>
        </w:rPr>
        <w:t>Proton Pump Blockade Agents (PPIs)</w:t>
      </w:r>
    </w:p>
    <w:p w14:paraId="15BDCDAA"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 xml:space="preserve">Proton pump inhibitors (PPIs) are the main medicines used to treat peptic ulcers, whether they form in the stomach or the upper part of the intestine (duodenum) (Chan &amp; Leung, 2002). These drugs work by blocking the acid pumps in the stomach lining, which leads to a strong and long-lasting reduction in stomach acid (Shi &amp; Klotz, 2008). Common PPIs include omeprazole, pantoprazole, lansoprazole, rabeprazole, and esomeprazole (Chan &amp; Leung, 2002). Compared to older medicines like H2 blockers, PPIs provide stronger acid control, helping ulcers heal faster and easing symptoms more effectively (Shi &amp; Klotz, 2008). Research also shows that when PPIs are combined with antibiotics to clear </w:t>
      </w:r>
      <w:r w:rsidRPr="00DF6F52">
        <w:rPr>
          <w:rFonts w:ascii="Times New Roman" w:hAnsi="Times New Roman" w:cs="Times New Roman"/>
          <w:i/>
          <w:iCs/>
          <w:sz w:val="24"/>
          <w:szCs w:val="24"/>
        </w:rPr>
        <w:t xml:space="preserve">H. pylori </w:t>
      </w:r>
      <w:r w:rsidRPr="00DF6F52">
        <w:rPr>
          <w:rFonts w:ascii="Times New Roman" w:hAnsi="Times New Roman" w:cs="Times New Roman"/>
          <w:sz w:val="24"/>
          <w:szCs w:val="24"/>
        </w:rPr>
        <w:t>infection, they greatly lower the chances of ulcers coming back (Malfertheiner et al., 2017).</w:t>
      </w:r>
    </w:p>
    <w:p w14:paraId="2D87B37F" w14:textId="743FB87B" w:rsidR="00F05C95" w:rsidRPr="00DF6F52" w:rsidRDefault="00F05C95" w:rsidP="00DF6F52">
      <w:pPr>
        <w:rPr>
          <w:rFonts w:ascii="Times New Roman" w:hAnsi="Times New Roman" w:cs="Times New Roman"/>
          <w:sz w:val="24"/>
          <w:szCs w:val="24"/>
          <w:lang w:val="sv-SE"/>
        </w:rPr>
      </w:pPr>
      <w:r w:rsidRPr="00DF6F52">
        <w:rPr>
          <w:rFonts w:ascii="Times New Roman" w:hAnsi="Times New Roman" w:cs="Times New Roman"/>
          <w:b/>
          <w:bCs/>
          <w:sz w:val="24"/>
          <w:szCs w:val="24"/>
          <w:lang w:val="sv-SE"/>
        </w:rPr>
        <w:t>Histamine Type-2 Blockade Agents</w:t>
      </w:r>
      <w:r w:rsidRPr="00DF6F52">
        <w:rPr>
          <w:rFonts w:ascii="Times New Roman" w:hAnsi="Times New Roman" w:cs="Times New Roman"/>
          <w:sz w:val="24"/>
          <w:szCs w:val="24"/>
          <w:lang w:val="sv-SE"/>
        </w:rPr>
        <w:t xml:space="preserve"> </w:t>
      </w:r>
      <w:r w:rsidRPr="00DF6F52">
        <w:rPr>
          <w:rFonts w:ascii="Times New Roman" w:hAnsi="Times New Roman" w:cs="Times New Roman"/>
          <w:b/>
          <w:bCs/>
          <w:sz w:val="24"/>
          <w:szCs w:val="24"/>
          <w:lang w:val="sv-SE"/>
        </w:rPr>
        <w:t>(H2RAs)</w:t>
      </w:r>
    </w:p>
    <w:p w14:paraId="49FDE694"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Histamine-2 receptor antagonists (H2RAs), such as ranitidine, famotidine, cimetidine, and nizatidine, work by competitively blocking the action of histamine on the stomach’s acid-producing parietal cells (Begg et al., 2023). This significantly reduces gastric acid secretion (Salman et al., 2025). While these drugs can heal ulcers, they are not as potent as proton pump inhibitors (PPIs) in lowering gastric acid levels (Salman et al., 2025). Another limitation is that prolonged use can lead to pharmacological tolerance (tachyphylaxis), rendering them less effective over time (Begg et al., 2023). Nevertheless, H2RAs remain a valuable alternative for patients who cannot tolerate PPIs or who require ongoing maintenance therapy to prevent ulcer recurrence (Salman et al., 2025).</w:t>
      </w:r>
    </w:p>
    <w:p w14:paraId="2C8394A2" w14:textId="05397D87" w:rsidR="00F05C95" w:rsidRPr="00DF6F52" w:rsidRDefault="00F05C95" w:rsidP="00DF6F52">
      <w:pPr>
        <w:rPr>
          <w:rFonts w:ascii="Times New Roman" w:hAnsi="Times New Roman" w:cs="Times New Roman"/>
          <w:b/>
          <w:bCs/>
          <w:sz w:val="24"/>
          <w:szCs w:val="24"/>
        </w:rPr>
      </w:pPr>
      <w:r w:rsidRPr="00DF6F52">
        <w:rPr>
          <w:rFonts w:ascii="Times New Roman" w:hAnsi="Times New Roman" w:cs="Times New Roman"/>
          <w:b/>
          <w:bCs/>
          <w:sz w:val="24"/>
          <w:szCs w:val="24"/>
        </w:rPr>
        <w:t>Acid-Neutralizing Agents (Antacids)</w:t>
      </w:r>
    </w:p>
    <w:p w14:paraId="4EE9CEA9"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 xml:space="preserve">Antacids are simple medicines made from bases like aluminum hydroxide, magnesium hydroxide, and calcium carbonate (Kuna et al., 2019). They work by directly neutralizing stomach acid, which gives quick relief from pain or discomfort caused by ulcers (Kuna et al., 2019). However, while </w:t>
      </w:r>
      <w:r w:rsidRPr="00DF6F52">
        <w:rPr>
          <w:rFonts w:ascii="Times New Roman" w:hAnsi="Times New Roman" w:cs="Times New Roman"/>
          <w:sz w:val="24"/>
          <w:szCs w:val="24"/>
        </w:rPr>
        <w:lastRenderedPageBreak/>
        <w:t>they ease symptoms, they do not actually speed up ulcer healing (Kuna et al., 2019). Antacids act fast, making them a good option when someone needs immediate relief, but the effect wears off quickly, so they have to be taken often (Kuna et al., 2019). Nowadays, stronger medicines like proton pump inhibitors (PPIs) and H2 blockers are preferred for long-term acid control, which means antacids are mostly used for short-term, quick fixes rather than as the main treatment (Begg et al., 2023).</w:t>
      </w:r>
    </w:p>
    <w:p w14:paraId="7AAA11FE" w14:textId="56BCD014" w:rsidR="00F05C95" w:rsidRPr="00DF6F52" w:rsidRDefault="00F05C95" w:rsidP="00DF6F52">
      <w:pPr>
        <w:rPr>
          <w:rFonts w:ascii="Times New Roman" w:hAnsi="Times New Roman" w:cs="Times New Roman"/>
          <w:b/>
          <w:bCs/>
          <w:sz w:val="24"/>
          <w:szCs w:val="24"/>
        </w:rPr>
      </w:pPr>
      <w:r w:rsidRPr="00DF6F52">
        <w:rPr>
          <w:rFonts w:ascii="Times New Roman" w:hAnsi="Times New Roman" w:cs="Times New Roman"/>
          <w:b/>
          <w:bCs/>
          <w:sz w:val="24"/>
          <w:szCs w:val="24"/>
        </w:rPr>
        <w:t>Gastric Mucosa Protectants</w:t>
      </w:r>
    </w:p>
    <w:p w14:paraId="69812CFD"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 xml:space="preserve">Mucosal protective medicines, like sucralfate and bismuth compounds, play an important role in shielding the stomach lining (Kuna et al., 2019). Sucralfate works by forming a protective coating over the ulcer, binding to the damaged tissue so that it’s less exposed to stomach acid and digestive enzymes like pepsin (McCarthy, 1991). Bismuth-based drugs, such as bismuth subsalicylate, not only help protect the stomach lining but also act against </w:t>
      </w:r>
      <w:r w:rsidRPr="00DF6F52">
        <w:rPr>
          <w:rFonts w:ascii="Times New Roman" w:hAnsi="Times New Roman" w:cs="Times New Roman"/>
          <w:i/>
          <w:iCs/>
          <w:sz w:val="24"/>
          <w:szCs w:val="24"/>
        </w:rPr>
        <w:t xml:space="preserve">H. pylori </w:t>
      </w:r>
      <w:r w:rsidRPr="00DF6F52">
        <w:rPr>
          <w:rFonts w:ascii="Times New Roman" w:hAnsi="Times New Roman" w:cs="Times New Roman"/>
          <w:sz w:val="24"/>
          <w:szCs w:val="24"/>
        </w:rPr>
        <w:t xml:space="preserve">bacteria (Dore, Lu, &amp; Graham, 2016). Because of this, they are often used alongside antibiotics in treatment plans aimed at clearing </w:t>
      </w:r>
      <w:r w:rsidRPr="00DF6F52">
        <w:rPr>
          <w:rFonts w:ascii="Times New Roman" w:hAnsi="Times New Roman" w:cs="Times New Roman"/>
          <w:i/>
          <w:iCs/>
          <w:sz w:val="24"/>
          <w:szCs w:val="24"/>
        </w:rPr>
        <w:t xml:space="preserve">H. pylori </w:t>
      </w:r>
      <w:r w:rsidRPr="00DF6F52">
        <w:rPr>
          <w:rFonts w:ascii="Times New Roman" w:hAnsi="Times New Roman" w:cs="Times New Roman"/>
          <w:sz w:val="24"/>
          <w:szCs w:val="24"/>
        </w:rPr>
        <w:t>infection and supporting ulcer healing (Dore, Lu, &amp; Graham, 2016).</w:t>
      </w:r>
    </w:p>
    <w:p w14:paraId="1BA7DF85" w14:textId="2DD172F0"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b/>
          <w:bCs/>
          <w:sz w:val="24"/>
          <w:szCs w:val="24"/>
        </w:rPr>
        <w:t>Prostaglandin Derivatives</w:t>
      </w:r>
    </w:p>
    <w:p w14:paraId="1236C397"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Misoprostol is a synthetic analog of a naturally occurring substance in the body called prostaglandin E1 (Rostom, 2009). It helps protect the stomach lining by boosting the production of mucus and bicarbonate, while also lowering stomach acid levels (Rostom, 2009). This makes it especially helpful in preventing ulcers caused by long‑term use of painkillers like NSAIDs (Rostom, 2009). However, misoprostol is not without limitations; it can cause gastrointestinal side effects such as diarrhea and stomach cramps (Rostom, 2009). Importantly, it should never be used during pregnancy because it can trigger uterine contractions (Rostom, 2009).</w:t>
      </w:r>
    </w:p>
    <w:p w14:paraId="59FA3C44" w14:textId="36085F9B" w:rsidR="00F05C95" w:rsidRPr="00DF6F52" w:rsidRDefault="00F05C95" w:rsidP="00DF6F52">
      <w:pPr>
        <w:rPr>
          <w:rFonts w:ascii="Times New Roman" w:hAnsi="Times New Roman" w:cs="Times New Roman"/>
          <w:b/>
          <w:bCs/>
          <w:sz w:val="24"/>
          <w:szCs w:val="24"/>
        </w:rPr>
      </w:pPr>
      <w:r w:rsidRPr="00DF6F52">
        <w:rPr>
          <w:rFonts w:ascii="Times New Roman" w:hAnsi="Times New Roman" w:cs="Times New Roman"/>
          <w:b/>
          <w:bCs/>
          <w:sz w:val="24"/>
          <w:szCs w:val="24"/>
        </w:rPr>
        <w:t>Helicobacter pylori Eradication Therapy</w:t>
      </w:r>
      <w:r w:rsidRPr="00DF6F52">
        <w:rPr>
          <w:rFonts w:ascii="Times New Roman" w:hAnsi="Times New Roman" w:cs="Times New Roman"/>
          <w:sz w:val="24"/>
          <w:szCs w:val="24"/>
        </w:rPr>
        <w:t xml:space="preserve"> </w:t>
      </w:r>
    </w:p>
    <w:p w14:paraId="6FE6D052"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 xml:space="preserve">Helicobacter pylori is a common cause of peptic ulcer disease (Malfertheiner et al., 2017). To treat this infection, doctors typically use a treatment known as triple therapy, which combines two antibiotics such as clarithromycin, amoxicillin, or metronidazole with a proton pump inhibitor (PPI) to decrease stomach acid production (Malfertheiner et al., 2017). If the bacteria are resistant to the antibiotics in triple therapy, a more powerful treatment called quadruple therapy is used (Sun et al., 2010). This adds bismuth subsalicylate to the mix along with metronidazole, tetracycline, and a PPI (Sun et al., 2010). Successfully eliminating </w:t>
      </w:r>
      <w:r w:rsidRPr="00DF6F52">
        <w:rPr>
          <w:rFonts w:ascii="Times New Roman" w:hAnsi="Times New Roman" w:cs="Times New Roman"/>
          <w:i/>
          <w:iCs/>
          <w:sz w:val="24"/>
          <w:szCs w:val="24"/>
        </w:rPr>
        <w:t xml:space="preserve">H. pylori </w:t>
      </w:r>
      <w:r w:rsidRPr="00DF6F52">
        <w:rPr>
          <w:rFonts w:ascii="Times New Roman" w:hAnsi="Times New Roman" w:cs="Times New Roman"/>
          <w:sz w:val="24"/>
          <w:szCs w:val="24"/>
        </w:rPr>
        <w:t xml:space="preserve">not only aids in the healing of ulcers but also helps prevent their recurrence, reducing the need for long-term use of acid-suppressing medications (Malfertheiner et al., 2017). The treatment of peptic ulcers has changed dramatically over the years (Kuna et al., 2019). Today, proton pump inhibitors (PPIs) are the </w:t>
      </w:r>
      <w:r w:rsidRPr="00DF6F52">
        <w:rPr>
          <w:rFonts w:ascii="Times New Roman" w:hAnsi="Times New Roman" w:cs="Times New Roman"/>
          <w:sz w:val="24"/>
          <w:szCs w:val="24"/>
        </w:rPr>
        <w:lastRenderedPageBreak/>
        <w:t>cornerstone of therapy because they strongly suppress stomach acid and promote healing (Kuna et al., 2019). Other medicines, like H2 receptor blockers and mucosal protective agents, can be used as alternatives or in combination to support treatment (Kuna et al., 2019). The biggest breakthrough, however, came with the use of antibiotics to eliminate Helicobacter pylori, the bacteria responsible for many ulcers (Kuna et al., 2019). By tailoring treatment to the specific cause of the ulcer and the individual needs of each patient, doctors can achieve the best outcomes and greatly reduce the chances of the ulcer coming back (Kuna et al., 2019).</w:t>
      </w:r>
    </w:p>
    <w:p w14:paraId="04D2CEE8" w14:textId="6AFFECDD" w:rsidR="00F05C95" w:rsidRPr="00DF6F52" w:rsidRDefault="00132391" w:rsidP="00DF6F52">
      <w:pPr>
        <w:rPr>
          <w:rFonts w:ascii="Times New Roman" w:hAnsi="Times New Roman" w:cs="Times New Roman"/>
          <w:sz w:val="24"/>
          <w:szCs w:val="24"/>
        </w:rPr>
      </w:pPr>
      <w:r w:rsidRPr="00DF6F52">
        <w:rPr>
          <w:rFonts w:ascii="Times New Roman" w:hAnsi="Times New Roman" w:cs="Times New Roman"/>
          <w:b/>
          <w:bCs/>
          <w:sz w:val="24"/>
          <w:szCs w:val="24"/>
        </w:rPr>
        <w:t xml:space="preserve">PHARMACOLOGICAL MECHANISMS AND THERAPEUTIC APPLICATIONS: </w:t>
      </w:r>
    </w:p>
    <w:p w14:paraId="26584A2A"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Peptic ulcers are usually treated with medicines that either lower stomach acid, neutralize the acid that is already there, or strengthen the stomach’s natural defenses (Kuna et al., 2019). The main groups of drugs include proton pump inhibitors (PPIs), H2-receptor blockers (H2RAs), antacids, protective agents like sucralfate or bismuth, and antibiotics to eliminate Helicobacter pylori (</w:t>
      </w:r>
      <w:r w:rsidRPr="00DF6F52">
        <w:rPr>
          <w:rFonts w:ascii="Times New Roman" w:hAnsi="Times New Roman" w:cs="Times New Roman"/>
          <w:i/>
          <w:iCs/>
          <w:sz w:val="24"/>
          <w:szCs w:val="24"/>
        </w:rPr>
        <w:t>H. pylori</w:t>
      </w:r>
      <w:r w:rsidRPr="00DF6F52">
        <w:rPr>
          <w:rFonts w:ascii="Times New Roman" w:hAnsi="Times New Roman" w:cs="Times New Roman"/>
          <w:sz w:val="24"/>
          <w:szCs w:val="24"/>
        </w:rPr>
        <w:t xml:space="preserve">), the bacteria often responsible for ulcers (Kuna et al., 2019). Each of these medicines works in its own way and has different levels of effectiveness (Kuna et al., 2019). Doctors choose the right combination based on the cause of the ulcer and the patient’s individual needs, which helps ensure the best healing and reduces the chance of the ulcer coming back (Kuna et al., 2019).  </w:t>
      </w:r>
    </w:p>
    <w:p w14:paraId="2421E35C" w14:textId="772ED65D" w:rsidR="00F05C95" w:rsidRPr="00DF6F52" w:rsidRDefault="00F05C95" w:rsidP="00DF6F52">
      <w:pPr>
        <w:rPr>
          <w:rFonts w:ascii="Times New Roman" w:hAnsi="Times New Roman" w:cs="Times New Roman"/>
          <w:b/>
          <w:bCs/>
          <w:sz w:val="24"/>
          <w:szCs w:val="24"/>
        </w:rPr>
      </w:pPr>
      <w:r w:rsidRPr="00DF6F52">
        <w:rPr>
          <w:rFonts w:ascii="Times New Roman" w:hAnsi="Times New Roman" w:cs="Times New Roman"/>
          <w:b/>
          <w:bCs/>
          <w:sz w:val="24"/>
          <w:szCs w:val="24"/>
        </w:rPr>
        <w:t>Proton Pump Inhibitors (PPIs):</w:t>
      </w:r>
    </w:p>
    <w:p w14:paraId="431BF971"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 xml:space="preserve">Proton pump inhibitors (PPIs) function as prodrugs that require activation in a highly acidic environment to exert their pharmacological effects (Shi &amp; Klotz, 2008). Upon systemic absorption, these weak bases diffuse into the parietal cell and accumulate in the highly acidic secretory canaliculi, where they undergo an acid-catalyzed molecular rearrangement to form a reactive thiophilic sulfenamide intermediate (Shi &amp; Klotz, 2008). This active species forms irreversible covalent disulfide bonds with specific cysteine residues on the luminal surface of the H+/K+ ATPase enzyme, effectively halting terminal gastric acid secretion (Strand, Kim, &amp; Peura, 2017). Pharmacokinetically, PPIs such as omeprazole, pantoprazole, and esomeprazole are extensively metabolized by the hepatic cytochrome P450 system, predominantly via the CYP2C19 and CYP3A4 isoenzymes (Shi &amp; Klotz, 2008). This extensive hepatic metabolism necessitates careful consideration of potential drug-drug interactions; for instance, competitive inhibition of CYP2C19 by omeprazole can attenuate the bioactivation of clopidogrel (Shi &amp; Klotz, 2008). While PPIs are significantly superior to H2RAs in maintaining the sustained intragastric pH elevation required for mucosal healing and </w:t>
      </w:r>
      <w:r w:rsidRPr="00DF6F52">
        <w:rPr>
          <w:rFonts w:ascii="Times New Roman" w:hAnsi="Times New Roman" w:cs="Times New Roman"/>
          <w:i/>
          <w:iCs/>
          <w:sz w:val="24"/>
          <w:szCs w:val="24"/>
        </w:rPr>
        <w:t xml:space="preserve">H. pylori </w:t>
      </w:r>
      <w:r w:rsidRPr="00DF6F52">
        <w:rPr>
          <w:rFonts w:ascii="Times New Roman" w:hAnsi="Times New Roman" w:cs="Times New Roman"/>
          <w:sz w:val="24"/>
          <w:szCs w:val="24"/>
        </w:rPr>
        <w:t xml:space="preserve">eradication, long-term PPI therapy induces profound hypochlorhydria (Strand, Kim, &amp; Peura, 2017). This altered gastric milieu can lead to the </w:t>
      </w:r>
      <w:r w:rsidRPr="00DF6F52">
        <w:rPr>
          <w:rFonts w:ascii="Times New Roman" w:hAnsi="Times New Roman" w:cs="Times New Roman"/>
          <w:sz w:val="24"/>
          <w:szCs w:val="24"/>
        </w:rPr>
        <w:lastRenderedPageBreak/>
        <w:t>malabsorption of pH-dependent micronutrients (e.g., Vitamin B12) and has been associated with an increased risk of osteoporotic fractures and enteric infections (Strand, Kim, &amp; Peura, 2017).</w:t>
      </w:r>
    </w:p>
    <w:p w14:paraId="233D46A9" w14:textId="77777777" w:rsidR="00F05C95" w:rsidRPr="00DF6F52" w:rsidRDefault="00F05C95" w:rsidP="00DF6F52">
      <w:pPr>
        <w:jc w:val="center"/>
        <w:rPr>
          <w:rFonts w:ascii="Times New Roman" w:hAnsi="Times New Roman" w:cs="Times New Roman"/>
          <w:noProof/>
          <w:sz w:val="24"/>
          <w:szCs w:val="24"/>
        </w:rPr>
      </w:pPr>
    </w:p>
    <w:p w14:paraId="00CC765F" w14:textId="77777777" w:rsidR="00F05C95" w:rsidRPr="00DF6F52" w:rsidRDefault="00F05C95" w:rsidP="00DF6F52">
      <w:pPr>
        <w:jc w:val="center"/>
        <w:rPr>
          <w:rFonts w:ascii="Times New Roman" w:hAnsi="Times New Roman" w:cs="Times New Roman"/>
          <w:sz w:val="24"/>
          <w:szCs w:val="24"/>
        </w:rPr>
      </w:pPr>
      <w:r w:rsidRPr="00DF6F52">
        <w:rPr>
          <w:rFonts w:ascii="Times New Roman" w:hAnsi="Times New Roman" w:cs="Times New Roman"/>
          <w:noProof/>
          <w:sz w:val="24"/>
          <w:szCs w:val="24"/>
        </w:rPr>
        <w:drawing>
          <wp:inline distT="0" distB="0" distL="0" distR="0" wp14:anchorId="6A9683E9" wp14:editId="2B4F7316">
            <wp:extent cx="4361170" cy="2659380"/>
            <wp:effectExtent l="19050" t="19050" r="20955" b="26670"/>
            <wp:docPr id="4382481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532"/>
                    <a:stretch>
                      <a:fillRect/>
                    </a:stretch>
                  </pic:blipFill>
                  <pic:spPr bwMode="auto">
                    <a:xfrm>
                      <a:off x="0" y="0"/>
                      <a:ext cx="4364089" cy="266116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EE5DE19" w14:textId="77777777" w:rsidR="00F05C95" w:rsidRPr="00DF6F52" w:rsidRDefault="00F05C95" w:rsidP="00DF6F52">
      <w:pPr>
        <w:rPr>
          <w:rFonts w:ascii="Times New Roman" w:hAnsi="Times New Roman" w:cs="Times New Roman"/>
          <w:b/>
          <w:bCs/>
          <w:sz w:val="24"/>
          <w:szCs w:val="24"/>
        </w:rPr>
      </w:pPr>
      <w:r w:rsidRPr="00DF6F52">
        <w:rPr>
          <w:rFonts w:ascii="Times New Roman" w:hAnsi="Times New Roman" w:cs="Times New Roman"/>
          <w:b/>
          <w:bCs/>
          <w:sz w:val="24"/>
          <w:szCs w:val="24"/>
        </w:rPr>
        <w:t>Figure 3: Molecular Targets of Antisecretory Agents within the Gastric Parietal Cell.</w:t>
      </w:r>
    </w:p>
    <w:p w14:paraId="1F3D0B7A" w14:textId="5AE2A632" w:rsidR="00F05C95" w:rsidRPr="00DF6F52" w:rsidRDefault="00F05C95" w:rsidP="00DF6F52">
      <w:pPr>
        <w:rPr>
          <w:rFonts w:ascii="Times New Roman" w:hAnsi="Times New Roman" w:cs="Times New Roman"/>
          <w:b/>
          <w:bCs/>
          <w:sz w:val="24"/>
          <w:szCs w:val="24"/>
        </w:rPr>
      </w:pPr>
      <w:r w:rsidRPr="00DF6F52">
        <w:rPr>
          <w:rFonts w:ascii="Times New Roman" w:hAnsi="Times New Roman" w:cs="Times New Roman"/>
          <w:b/>
          <w:bCs/>
          <w:sz w:val="24"/>
          <w:szCs w:val="24"/>
        </w:rPr>
        <w:t xml:space="preserve">H2-Receptor Antagonists (H2RAs): </w:t>
      </w:r>
    </w:p>
    <w:p w14:paraId="03EE115A"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 xml:space="preserve">Proton pump inhibitors (PPIs) function as prodrugs that require activation in a highly acidic environment to exert their pharmacological effects (Shi &amp; Klotz, 2008). Upon systemic absorption, these weak bases diffuse into the parietal cell and accumulate in the highly acidic secretory canaliculi, where they undergo an acid-catalyzed molecular rearrangement to form a reactive thiophilic sulfenamide intermediate (Shi &amp; Klotz, 2008). This active species forms irreversible covalent disulfide bonds with specific cysteine residues on the luminal surface of the H+/K+ ATPase enzyme, effectively halting terminal gastric acid secretion (Strand, Kim, &amp; Peura, 2017). Pharmacokinetically, PPIs such as omeprazole, pantoprazole, and esomeprazole are extensively metabolized by the hepatic cytochrome P450 system, predominantly via the CYP2C19 and CYP3A4 isoenzymes (Shi &amp; Klotz, 2008). This extensive hepatic metabolism necessitates careful consideration of potential drug-drug interactions; for instance, competitive inhibition of CYP2C19 by omeprazole can attenuate the bioactivation of clopidogrel (Shi &amp; Klotz, 2008). While PPIs are significantly superior to H2RAs in maintaining the sustained intragastric pH elevation required for mucosal healing and </w:t>
      </w:r>
      <w:r w:rsidRPr="00DF6F52">
        <w:rPr>
          <w:rFonts w:ascii="Times New Roman" w:hAnsi="Times New Roman" w:cs="Times New Roman"/>
          <w:i/>
          <w:iCs/>
          <w:sz w:val="24"/>
          <w:szCs w:val="24"/>
        </w:rPr>
        <w:t xml:space="preserve">H. pylori </w:t>
      </w:r>
      <w:r w:rsidRPr="00DF6F52">
        <w:rPr>
          <w:rFonts w:ascii="Times New Roman" w:hAnsi="Times New Roman" w:cs="Times New Roman"/>
          <w:sz w:val="24"/>
          <w:szCs w:val="24"/>
        </w:rPr>
        <w:t xml:space="preserve">eradication, long-term PPI therapy induces profound hypochlorhydria (Strand, Kim, &amp; Peura, 2017). This altered gastric milieu can lead to the malabsorption of pH-dependent micronutrients (e.g., Vitamin B12) and has been associated with an increased risk of osteoporotic fractures and enteric infections (Strand, Kim, &amp; Peura, 2017). </w:t>
      </w:r>
    </w:p>
    <w:p w14:paraId="5F1C6EDA" w14:textId="440EA21B" w:rsidR="00F05C95" w:rsidRPr="00DF6F52" w:rsidRDefault="00F05C95" w:rsidP="00DF6F52">
      <w:pPr>
        <w:rPr>
          <w:rFonts w:ascii="Times New Roman" w:hAnsi="Times New Roman" w:cs="Times New Roman"/>
          <w:b/>
          <w:bCs/>
          <w:sz w:val="24"/>
          <w:szCs w:val="24"/>
        </w:rPr>
      </w:pPr>
      <w:r w:rsidRPr="00DF6F52">
        <w:rPr>
          <w:rFonts w:ascii="Times New Roman" w:hAnsi="Times New Roman" w:cs="Times New Roman"/>
          <w:b/>
          <w:bCs/>
          <w:sz w:val="24"/>
          <w:szCs w:val="24"/>
        </w:rPr>
        <w:t>Antacids:</w:t>
      </w:r>
      <w:r w:rsidRPr="00DF6F52">
        <w:rPr>
          <w:rFonts w:ascii="Times New Roman" w:hAnsi="Times New Roman" w:cs="Times New Roman"/>
          <w:sz w:val="24"/>
          <w:szCs w:val="24"/>
        </w:rPr>
        <w:t xml:space="preserve">                               </w:t>
      </w:r>
    </w:p>
    <w:p w14:paraId="60D59422"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lastRenderedPageBreak/>
        <w:t xml:space="preserve">Antacids, composed of weakly basic inorganic salts of aluminum, magnesium, and calcium, operate independent of receptor-mediated pathways (Kuna et al., 2019). They directly neutralize existing gastric hydrochloric acid to form water and neutral salts, providing rapid, acute symptomatic relief (Kiran, Rohilla, &amp; Kalra, 2023). This chemical neutralization acutely elevates intragastric pH, which subsequently inactivates pepsinogen and bolsters the mucosal protective gel (Kuna et al., 2019). However, from a biopharmaceutical perspective, the primary clinical concern with antacids is their propensity to alter the gastrointestinal absorption of concurrently administered therapeutics (Kiran, Rohilla, &amp; Kalra, 2023). This occurs through the premature dissolution of enteric coatings in the higher-pH gastric environment, alterations in gastric emptying rates, or direct chemical chelation (e.g., forming insoluble complexes with fluoroquinolones and tetracyclines) (Kuna et al., 2019). Furthermore, while systemic absorption is generally minimal, overconsumption can precipitate clinically significant toxicities, such as milk-alkali syndrome (metabolic alkalosis and hypercalcemia) with excessive calcium carbonate ingestion, or systemic heavy metal accumulation in patients with compromised renal function (Kiran, Rohilla, &amp; Kalra, 2023). </w:t>
      </w:r>
    </w:p>
    <w:p w14:paraId="7CA0CE9D" w14:textId="006DCCC4" w:rsidR="00F05C95" w:rsidRPr="00DF6F52" w:rsidRDefault="00F05C95" w:rsidP="00DF6F52">
      <w:pPr>
        <w:rPr>
          <w:rFonts w:ascii="Times New Roman" w:hAnsi="Times New Roman" w:cs="Times New Roman"/>
          <w:b/>
          <w:bCs/>
          <w:sz w:val="24"/>
          <w:szCs w:val="24"/>
        </w:rPr>
      </w:pPr>
      <w:r w:rsidRPr="00DF6F52">
        <w:rPr>
          <w:rFonts w:ascii="Times New Roman" w:hAnsi="Times New Roman" w:cs="Times New Roman"/>
          <w:b/>
          <w:bCs/>
          <w:sz w:val="24"/>
          <w:szCs w:val="24"/>
        </w:rPr>
        <w:t xml:space="preserve">Cytoprotective Agents: </w:t>
      </w:r>
    </w:p>
    <w:p w14:paraId="40235D50"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 xml:space="preserve">Cytoprotective agents are medicines that help strengthen the stomach’s natural defenses against acid (Kuna et al., 2019). Examples include sucralfate, misoprostol, and bismuth compounds (Kuna et al., 2019). Sucralfate works by binding to proteins at the site of an ulcer, creating a protective barrier that shields the damaged tissue from further acid injury (McCarthy, 1991). It is especially useful for preventing stress ulcers in critically ill patients (McCarthy, 1991). Misoprostol, a prostaglandin E1 analog, boosts the stomach’s protective mucus and bicarbonate while also reducing acid secretion (Rostom, 2009). Its main role is in preventing ulcers caused by NSAIDs, though its use is limited because it can cause diarrhea and, importantly, uterine contractions making it unsafe during pregnancy (Rostom, 2009). Bismuth compounds not only coat the stomach lining for protection but also have mild antibacterial activity against </w:t>
      </w:r>
      <w:r w:rsidRPr="00DF6F52">
        <w:rPr>
          <w:rFonts w:ascii="Times New Roman" w:hAnsi="Times New Roman" w:cs="Times New Roman"/>
          <w:i/>
          <w:iCs/>
          <w:sz w:val="24"/>
          <w:szCs w:val="24"/>
        </w:rPr>
        <w:t xml:space="preserve">H. pylori </w:t>
      </w:r>
      <w:r w:rsidRPr="00DF6F52">
        <w:rPr>
          <w:rFonts w:ascii="Times New Roman" w:hAnsi="Times New Roman" w:cs="Times New Roman"/>
          <w:sz w:val="24"/>
          <w:szCs w:val="24"/>
        </w:rPr>
        <w:t xml:space="preserve">(Dore, Lu, &amp; Graham, 2016). For this reason, they are often included in quadruple therapy regimens aimed at eradicating </w:t>
      </w:r>
      <w:r w:rsidRPr="00DF6F52">
        <w:rPr>
          <w:rFonts w:ascii="Times New Roman" w:hAnsi="Times New Roman" w:cs="Times New Roman"/>
          <w:i/>
          <w:iCs/>
          <w:sz w:val="24"/>
          <w:szCs w:val="24"/>
        </w:rPr>
        <w:t xml:space="preserve">H. pylori </w:t>
      </w:r>
      <w:r w:rsidRPr="00DF6F52">
        <w:rPr>
          <w:rFonts w:ascii="Times New Roman" w:hAnsi="Times New Roman" w:cs="Times New Roman"/>
          <w:sz w:val="24"/>
          <w:szCs w:val="24"/>
        </w:rPr>
        <w:t xml:space="preserve">infection (Dore, Lu, &amp; Graham, 2016). </w:t>
      </w:r>
    </w:p>
    <w:p w14:paraId="7D3834A8" w14:textId="0F551E59" w:rsidR="00F05C95" w:rsidRPr="00DF6F52" w:rsidRDefault="00F05C95" w:rsidP="00DF6F52">
      <w:pPr>
        <w:rPr>
          <w:rFonts w:ascii="Times New Roman" w:hAnsi="Times New Roman" w:cs="Times New Roman"/>
          <w:b/>
          <w:bCs/>
          <w:sz w:val="24"/>
          <w:szCs w:val="24"/>
        </w:rPr>
      </w:pPr>
      <w:r w:rsidRPr="00DF6F52">
        <w:rPr>
          <w:rFonts w:ascii="Times New Roman" w:hAnsi="Times New Roman" w:cs="Times New Roman"/>
          <w:b/>
          <w:bCs/>
          <w:sz w:val="24"/>
          <w:szCs w:val="24"/>
        </w:rPr>
        <w:t xml:space="preserve">Antibiotics for </w:t>
      </w:r>
      <w:r w:rsidRPr="00DF6F52">
        <w:rPr>
          <w:rFonts w:ascii="Times New Roman" w:hAnsi="Times New Roman" w:cs="Times New Roman"/>
          <w:b/>
          <w:bCs/>
          <w:i/>
          <w:iCs/>
          <w:sz w:val="24"/>
          <w:szCs w:val="24"/>
        </w:rPr>
        <w:t xml:space="preserve">H. pylori </w:t>
      </w:r>
      <w:r w:rsidRPr="00DF6F52">
        <w:rPr>
          <w:rFonts w:ascii="Times New Roman" w:hAnsi="Times New Roman" w:cs="Times New Roman"/>
          <w:b/>
          <w:bCs/>
          <w:sz w:val="24"/>
          <w:szCs w:val="24"/>
        </w:rPr>
        <w:t xml:space="preserve">Eradication </w:t>
      </w:r>
    </w:p>
    <w:p w14:paraId="704905FE"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 xml:space="preserve">Helicobacter pylori infection is one of the main causes of peptic ulcer disease (Malfertheiner et al., 2017). To get rid of the bacteria, doctors use antibiotics such as clarithromycin, amoxicillin, metronidazole, and tetracycline (Malfertheiner et al., 2017). The usual treatment combines two antibiotics with a proton pump inhibitor (PPI), known as triple therapy (Malfertheiner et al., 2017). </w:t>
      </w:r>
      <w:r w:rsidRPr="00DF6F52">
        <w:rPr>
          <w:rFonts w:ascii="Times New Roman" w:hAnsi="Times New Roman" w:cs="Times New Roman"/>
          <w:sz w:val="24"/>
          <w:szCs w:val="24"/>
        </w:rPr>
        <w:lastRenderedPageBreak/>
        <w:t xml:space="preserve">In some cases, a bismuth compound is added, creating quadruple therapy (Sun et al., 2010). Successfully clearing </w:t>
      </w:r>
      <w:r w:rsidRPr="00DF6F52">
        <w:rPr>
          <w:rFonts w:ascii="Times New Roman" w:hAnsi="Times New Roman" w:cs="Times New Roman"/>
          <w:i/>
          <w:iCs/>
          <w:sz w:val="24"/>
          <w:szCs w:val="24"/>
        </w:rPr>
        <w:t xml:space="preserve">H. pylori </w:t>
      </w:r>
      <w:r w:rsidRPr="00DF6F52">
        <w:rPr>
          <w:rFonts w:ascii="Times New Roman" w:hAnsi="Times New Roman" w:cs="Times New Roman"/>
          <w:sz w:val="24"/>
          <w:szCs w:val="24"/>
        </w:rPr>
        <w:t>not only heals the ulcer but also greatly lowers the chance of it coming back (Malfertheiner et al., 2017). The challenge today is that resistance to certain antibiotics especially clarithromycin and metronidazole has become more common (Malfertheiner et al., 2017). Because of this, newer approaches like sequential therapy (using different drugs in stages) and concomitant therapy (using multiple drugs at the same time) are being adopted to improve success rates (Malfertheiner et al., 2017).</w:t>
      </w:r>
    </w:p>
    <w:p w14:paraId="3C77CFF1" w14:textId="4F79F714"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b/>
          <w:bCs/>
          <w:sz w:val="24"/>
          <w:szCs w:val="24"/>
        </w:rPr>
        <w:t xml:space="preserve">Comparison of Botanical Extracts and Synthetic Drugs for Gastric Ulcer Healing: </w:t>
      </w:r>
    </w:p>
    <w:p w14:paraId="5B713554"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 xml:space="preserve">Researchers have been exploring the potential of AL (Anogeissus latifolia) bark as a treatment for stomach ulcers (Govindarajan et al., 2006). Early studies show that the hydroalcoholic extract of this bark may help protect the stomach lining (Govindarajan et al., 2006). It seems to work by reducing harmful processes like lipid peroxidation (LPO) and lowering superoxide dismutase (SOD) activity, both of which can damage cells (Govindarajan et al., 2006). At the same time, it boosts catalase activity, an enzyme that helps neutralize oxidative stress (Govindarajan et al., 2006). Put simply, AL bark may strengthen the stomach’s natural defenses against ulcer formation (Govindarajan et al., 2006). Because the leaves contain gallic acid, ellagic acid, and their derivatives in significant amounts, both the leaf extracts and the volatile oil showed moderate antibacterial and antifungal effects (Prayoga et al., 2024). The hydroethanolic extract of the leaves and bark of Alchornea castaneaefolia A. Juss. has demonstrated significant antiulcer activity in experimental models (Prayoga et al., 2024). At an oral dose of 1000 mg/kg, both leaf and bark extracts markedly inhibited ulcer formation, achieving 88% and 86% protection, respectively, in HCl/ethanol-induced gastric lesions in mice (Prayoga et al., 2024). Similarly, they provided 62% and 60% inhibition in indomethacin/bethanechol-induced ulcer models (Prayoga et al., 2024). Pre-treatment with the leaf extract offered notable mucosal protection, reducing ulcer incidence by 55% in hypothermic restraint stress-induced ulcers and by 34% in pylorus-ligated mice (Prayoga et al., 2024). Interestingly, the extract did not exhibit antisecretory effects in the Shay model, suggesting its mechanism of action is not linked to direct suppression of gastric acid secretion (Prayoga et al., 2024). Beyond acute models, the leaf extract also reduced the mean ulcer area and promoted healing in chronic gastric ulcers induced by acetic acid in rats, highlighting its potential role in both prevention and recovery (Prayoga et al., 2024). A flavonoid-enriched fraction isolated from the hydroethanolic leaf extract further confirmed these findings. At 100 mg/kg, this fraction provided 52% protection against HCl/ethanol-induced lesions and 79% protection against NSAID-induced gastric damage (Prayoga et al., 2024). However, it did not significantly enhance </w:t>
      </w:r>
      <w:r w:rsidRPr="00DF6F52">
        <w:rPr>
          <w:rFonts w:ascii="Times New Roman" w:hAnsi="Times New Roman" w:cs="Times New Roman"/>
          <w:sz w:val="24"/>
          <w:szCs w:val="24"/>
        </w:rPr>
        <w:lastRenderedPageBreak/>
        <w:t>mucoprotection in pylorus-ligated animals (Prayoga et al., 2024). Mechanistic studies revealed that pretreatment with the flavonoid fraction led to a substantial increase in prostaglandin E2 levels, which are typically suppressed by indomethacin (Prayoga et al., 2024). Additionally, it caused a marked reduction in serum gastrin levels and nearly tripled serum somatostatin concentrations compared to controls (Prayoga et al., 2024). Since gastrin stimulates gastric acid secretion, while somatostatin inhibits it, these hormonal changes suggest that the gastroprotective effects of Alchornea castaneaefolia are mediated through modulation of mucosal defense factors rather than direct acid inhibition (Prayoga et al., 2024). Decalepis salicifolia (also known as Utleria salicifolia) has shown encouraging results in protecting against ulcers (Rao et al., 2004). In studies with rats, its rhizome extract helped reduce damage in several types of ulcer models including those caused by excess acid (pylorus ligation), aspirin use, cysteamine‑induced duodenal ulcers, and alcohol‑related loss of stomach mucus (Rao et al., 2004).</w:t>
      </w:r>
    </w:p>
    <w:p w14:paraId="174C96B5" w14:textId="77777777" w:rsidR="00C63654" w:rsidRDefault="00C63654" w:rsidP="00DF6F52">
      <w:pPr>
        <w:rPr>
          <w:rFonts w:ascii="Times New Roman" w:eastAsia="Times New Roman" w:hAnsi="Times New Roman" w:cs="Times New Roman"/>
          <w:b/>
          <w:bCs/>
          <w:sz w:val="24"/>
          <w:szCs w:val="24"/>
          <w:lang w:eastAsia="en-IN"/>
        </w:rPr>
        <w:sectPr w:rsidR="00C63654" w:rsidSect="000C1C95">
          <w:headerReference w:type="even" r:id="rId14"/>
          <w:headerReference w:type="default" r:id="rId15"/>
          <w:footerReference w:type="even" r:id="rId16"/>
          <w:footerReference w:type="default" r:id="rId17"/>
          <w:headerReference w:type="first" r:id="rId18"/>
          <w:footerReference w:type="first" r:id="rId19"/>
          <w:pgSz w:w="12240" w:h="15840"/>
          <w:pgMar w:top="862" w:right="1259" w:bottom="990" w:left="1440" w:header="357" w:footer="720" w:gutter="0"/>
          <w:pgNumType w:start="7"/>
          <w:cols w:space="720"/>
          <w:titlePg/>
          <w:docGrid w:linePitch="360"/>
        </w:sectPr>
      </w:pPr>
    </w:p>
    <w:p w14:paraId="2117BD1F" w14:textId="77777777" w:rsidR="00F05C95" w:rsidRPr="00DF6F52" w:rsidRDefault="00F05C95" w:rsidP="00C63654">
      <w:pPr>
        <w:jc w:val="center"/>
        <w:rPr>
          <w:rFonts w:ascii="Times New Roman" w:eastAsia="Times New Roman" w:hAnsi="Times New Roman" w:cs="Times New Roman"/>
          <w:sz w:val="24"/>
          <w:szCs w:val="24"/>
          <w:lang w:eastAsia="en-IN"/>
        </w:rPr>
      </w:pPr>
      <w:r w:rsidRPr="00DF6F52">
        <w:rPr>
          <w:rFonts w:ascii="Times New Roman" w:eastAsia="Times New Roman" w:hAnsi="Times New Roman" w:cs="Times New Roman"/>
          <w:b/>
          <w:bCs/>
          <w:sz w:val="24"/>
          <w:szCs w:val="24"/>
          <w:lang w:eastAsia="en-IN"/>
        </w:rPr>
        <w:lastRenderedPageBreak/>
        <w:t>Table 1: Comprehensive Pharmacological Summary of Investigated Phytotherapeutics in Peptic Ulcer Models</w:t>
      </w:r>
    </w:p>
    <w:tbl>
      <w:tblPr>
        <w:tblStyle w:val="TableGrid"/>
        <w:tblW w:w="14784" w:type="dxa"/>
        <w:tblLook w:val="04A0" w:firstRow="1" w:lastRow="0" w:firstColumn="1" w:lastColumn="0" w:noHBand="0" w:noVBand="1"/>
      </w:tblPr>
      <w:tblGrid>
        <w:gridCol w:w="1725"/>
        <w:gridCol w:w="2235"/>
        <w:gridCol w:w="4272"/>
        <w:gridCol w:w="3125"/>
        <w:gridCol w:w="1737"/>
        <w:gridCol w:w="1690"/>
      </w:tblGrid>
      <w:tr w:rsidR="00F05C95" w:rsidRPr="00DF6F52" w14:paraId="29B9DBF3" w14:textId="77777777" w:rsidTr="00C63654">
        <w:trPr>
          <w:trHeight w:val="784"/>
        </w:trPr>
        <w:tc>
          <w:tcPr>
            <w:tcW w:w="0" w:type="auto"/>
            <w:hideMark/>
          </w:tcPr>
          <w:p w14:paraId="26BF0D6E" w14:textId="77777777" w:rsidR="00F05C95" w:rsidRPr="00DF6F52" w:rsidRDefault="00F05C95" w:rsidP="00C63654">
            <w:pPr>
              <w:rPr>
                <w:sz w:val="24"/>
                <w:szCs w:val="24"/>
                <w:lang w:eastAsia="en-IN"/>
              </w:rPr>
            </w:pPr>
            <w:r w:rsidRPr="00DF6F52">
              <w:rPr>
                <w:b/>
                <w:bCs/>
                <w:sz w:val="24"/>
                <w:szCs w:val="24"/>
                <w:lang w:eastAsia="en-IN"/>
              </w:rPr>
              <w:t>Botanical Source (Plant Name)</w:t>
            </w:r>
          </w:p>
        </w:tc>
        <w:tc>
          <w:tcPr>
            <w:tcW w:w="0" w:type="auto"/>
            <w:hideMark/>
          </w:tcPr>
          <w:p w14:paraId="0A72ED29" w14:textId="0A3383F9" w:rsidR="00F05C95" w:rsidRPr="00DF6F52" w:rsidRDefault="00F05C95" w:rsidP="00C63654">
            <w:pPr>
              <w:rPr>
                <w:sz w:val="24"/>
                <w:szCs w:val="24"/>
                <w:lang w:eastAsia="en-IN"/>
              </w:rPr>
            </w:pPr>
            <w:r w:rsidRPr="00DF6F52">
              <w:rPr>
                <w:b/>
                <w:bCs/>
                <w:sz w:val="24"/>
                <w:szCs w:val="24"/>
                <w:lang w:eastAsia="en-IN"/>
              </w:rPr>
              <w:t>Key Phytochemical(s)/ Fraction</w:t>
            </w:r>
          </w:p>
        </w:tc>
        <w:tc>
          <w:tcPr>
            <w:tcW w:w="0" w:type="auto"/>
            <w:hideMark/>
          </w:tcPr>
          <w:p w14:paraId="7600FA35" w14:textId="77777777" w:rsidR="00F05C95" w:rsidRPr="00DF6F52" w:rsidRDefault="00F05C95" w:rsidP="00C63654">
            <w:pPr>
              <w:rPr>
                <w:sz w:val="24"/>
                <w:szCs w:val="24"/>
                <w:lang w:eastAsia="en-IN"/>
              </w:rPr>
            </w:pPr>
            <w:r w:rsidRPr="00DF6F52">
              <w:rPr>
                <w:b/>
                <w:bCs/>
                <w:sz w:val="24"/>
                <w:szCs w:val="24"/>
                <w:lang w:eastAsia="en-IN"/>
              </w:rPr>
              <w:t>Primary Mechanism(s) of Action</w:t>
            </w:r>
          </w:p>
        </w:tc>
        <w:tc>
          <w:tcPr>
            <w:tcW w:w="0" w:type="auto"/>
            <w:hideMark/>
          </w:tcPr>
          <w:p w14:paraId="1E8BCBED" w14:textId="77777777" w:rsidR="00F05C95" w:rsidRPr="00DF6F52" w:rsidRDefault="00F05C95" w:rsidP="00C63654">
            <w:pPr>
              <w:rPr>
                <w:sz w:val="24"/>
                <w:szCs w:val="24"/>
                <w:lang w:eastAsia="en-IN"/>
              </w:rPr>
            </w:pPr>
            <w:r w:rsidRPr="00DF6F52">
              <w:rPr>
                <w:b/>
                <w:bCs/>
                <w:sz w:val="24"/>
                <w:szCs w:val="24"/>
                <w:lang w:eastAsia="en-IN"/>
              </w:rPr>
              <w:t>Experimental Ulcer Model(s)</w:t>
            </w:r>
          </w:p>
        </w:tc>
        <w:tc>
          <w:tcPr>
            <w:tcW w:w="0" w:type="auto"/>
            <w:hideMark/>
          </w:tcPr>
          <w:p w14:paraId="741B028F" w14:textId="77777777" w:rsidR="00F05C95" w:rsidRPr="00DF6F52" w:rsidRDefault="00F05C95" w:rsidP="00C63654">
            <w:pPr>
              <w:rPr>
                <w:sz w:val="24"/>
                <w:szCs w:val="24"/>
                <w:lang w:eastAsia="en-IN"/>
              </w:rPr>
            </w:pPr>
            <w:r w:rsidRPr="00DF6F52">
              <w:rPr>
                <w:b/>
                <w:bCs/>
                <w:sz w:val="24"/>
                <w:szCs w:val="24"/>
                <w:lang w:eastAsia="en-IN"/>
              </w:rPr>
              <w:t>Effective Dose</w:t>
            </w:r>
          </w:p>
        </w:tc>
        <w:tc>
          <w:tcPr>
            <w:tcW w:w="0" w:type="auto"/>
            <w:hideMark/>
          </w:tcPr>
          <w:p w14:paraId="4B3E2262" w14:textId="77777777" w:rsidR="00F05C95" w:rsidRPr="00DF6F52" w:rsidRDefault="00F05C95" w:rsidP="00C63654">
            <w:pPr>
              <w:rPr>
                <w:sz w:val="24"/>
                <w:szCs w:val="24"/>
                <w:lang w:eastAsia="en-IN"/>
              </w:rPr>
            </w:pPr>
            <w:r w:rsidRPr="00DF6F52">
              <w:rPr>
                <w:b/>
                <w:bCs/>
                <w:sz w:val="24"/>
                <w:szCs w:val="24"/>
                <w:lang w:eastAsia="en-IN"/>
              </w:rPr>
              <w:t>References (APA)</w:t>
            </w:r>
          </w:p>
        </w:tc>
      </w:tr>
      <w:tr w:rsidR="00F05C95" w:rsidRPr="00DF6F52" w14:paraId="22C0285E" w14:textId="77777777" w:rsidTr="00C63654">
        <w:trPr>
          <w:trHeight w:val="784"/>
        </w:trPr>
        <w:tc>
          <w:tcPr>
            <w:tcW w:w="0" w:type="auto"/>
            <w:hideMark/>
          </w:tcPr>
          <w:p w14:paraId="5A37C4A7" w14:textId="77777777" w:rsidR="00F05C95" w:rsidRPr="00DF6F52" w:rsidRDefault="00F05C95" w:rsidP="00C63654">
            <w:pPr>
              <w:rPr>
                <w:sz w:val="24"/>
                <w:szCs w:val="24"/>
                <w:lang w:eastAsia="en-IN"/>
              </w:rPr>
            </w:pPr>
            <w:r w:rsidRPr="00DF6F52">
              <w:rPr>
                <w:i/>
                <w:iCs/>
                <w:sz w:val="24"/>
                <w:szCs w:val="24"/>
                <w:lang w:eastAsia="en-IN"/>
              </w:rPr>
              <w:t>Anogeissus latifolia</w:t>
            </w:r>
          </w:p>
        </w:tc>
        <w:tc>
          <w:tcPr>
            <w:tcW w:w="0" w:type="auto"/>
            <w:hideMark/>
          </w:tcPr>
          <w:p w14:paraId="28803088" w14:textId="77777777" w:rsidR="00F05C95" w:rsidRPr="00DF6F52" w:rsidRDefault="00F05C95" w:rsidP="00C63654">
            <w:pPr>
              <w:rPr>
                <w:sz w:val="24"/>
                <w:szCs w:val="24"/>
                <w:lang w:eastAsia="en-IN"/>
              </w:rPr>
            </w:pPr>
            <w:r w:rsidRPr="00DF6F52">
              <w:rPr>
                <w:sz w:val="24"/>
                <w:szCs w:val="24"/>
                <w:lang w:eastAsia="en-IN"/>
              </w:rPr>
              <w:t>Gallic acid, Ellagic acid</w:t>
            </w:r>
          </w:p>
        </w:tc>
        <w:tc>
          <w:tcPr>
            <w:tcW w:w="0" w:type="auto"/>
            <w:hideMark/>
          </w:tcPr>
          <w:p w14:paraId="58D2A088" w14:textId="77777777" w:rsidR="00F05C95" w:rsidRPr="00DF6F52" w:rsidRDefault="00F05C95" w:rsidP="00C63654">
            <w:pPr>
              <w:rPr>
                <w:sz w:val="24"/>
                <w:szCs w:val="24"/>
                <w:lang w:eastAsia="en-IN"/>
              </w:rPr>
            </w:pPr>
            <w:r w:rsidRPr="00DF6F52">
              <w:rPr>
                <w:sz w:val="24"/>
                <w:szCs w:val="24"/>
                <w:lang w:eastAsia="en-IN"/>
              </w:rPr>
              <w:t>Inhibits 5-lipoxygenase; increases catalase; reduces lipid peroxidation (LPO) and superoxide dismutase (SOD)</w:t>
            </w:r>
          </w:p>
        </w:tc>
        <w:tc>
          <w:tcPr>
            <w:tcW w:w="0" w:type="auto"/>
            <w:hideMark/>
          </w:tcPr>
          <w:p w14:paraId="2365540E" w14:textId="77777777" w:rsidR="00F05C95" w:rsidRPr="00DF6F52" w:rsidRDefault="00F05C95" w:rsidP="00C63654">
            <w:pPr>
              <w:rPr>
                <w:sz w:val="24"/>
                <w:szCs w:val="24"/>
                <w:lang w:eastAsia="en-IN"/>
              </w:rPr>
            </w:pPr>
            <w:r w:rsidRPr="00DF6F52">
              <w:rPr>
                <w:sz w:val="24"/>
                <w:szCs w:val="24"/>
                <w:lang w:eastAsia="en-IN"/>
              </w:rPr>
              <w:t>Aspirin, ethanol, cold stress, pylorus ligation</w:t>
            </w:r>
          </w:p>
        </w:tc>
        <w:tc>
          <w:tcPr>
            <w:tcW w:w="0" w:type="auto"/>
            <w:hideMark/>
          </w:tcPr>
          <w:p w14:paraId="01565DFA" w14:textId="77777777" w:rsidR="00F05C95" w:rsidRPr="00DF6F52" w:rsidRDefault="00F05C95" w:rsidP="00C63654">
            <w:pPr>
              <w:rPr>
                <w:sz w:val="24"/>
                <w:szCs w:val="24"/>
                <w:lang w:eastAsia="en-IN"/>
              </w:rPr>
            </w:pPr>
            <w:r w:rsidRPr="00DF6F52">
              <w:rPr>
                <w:sz w:val="24"/>
                <w:szCs w:val="24"/>
                <w:lang w:eastAsia="en-IN"/>
              </w:rPr>
              <w:t>200 mg/kg</w:t>
            </w:r>
          </w:p>
        </w:tc>
        <w:tc>
          <w:tcPr>
            <w:tcW w:w="0" w:type="auto"/>
            <w:hideMark/>
          </w:tcPr>
          <w:p w14:paraId="695FFED5" w14:textId="77777777" w:rsidR="00F05C95" w:rsidRPr="00DF6F52" w:rsidRDefault="00F05C95" w:rsidP="00C63654">
            <w:pPr>
              <w:rPr>
                <w:sz w:val="24"/>
                <w:szCs w:val="24"/>
                <w:lang w:eastAsia="en-IN"/>
              </w:rPr>
            </w:pPr>
            <w:r w:rsidRPr="00DF6F52">
              <w:rPr>
                <w:sz w:val="24"/>
                <w:szCs w:val="24"/>
                <w:lang w:eastAsia="en-IN"/>
              </w:rPr>
              <w:t xml:space="preserve">(Govindarajan et al., 2006) </w:t>
            </w:r>
          </w:p>
        </w:tc>
      </w:tr>
      <w:tr w:rsidR="00F05C95" w:rsidRPr="00DF6F52" w14:paraId="2FF89C20" w14:textId="77777777" w:rsidTr="00C63654">
        <w:trPr>
          <w:trHeight w:val="1040"/>
        </w:trPr>
        <w:tc>
          <w:tcPr>
            <w:tcW w:w="0" w:type="auto"/>
            <w:hideMark/>
          </w:tcPr>
          <w:p w14:paraId="40D96E2C" w14:textId="77777777" w:rsidR="00F05C95" w:rsidRPr="00DF6F52" w:rsidRDefault="00F05C95" w:rsidP="00C63654">
            <w:pPr>
              <w:rPr>
                <w:sz w:val="24"/>
                <w:szCs w:val="24"/>
                <w:lang w:eastAsia="en-IN"/>
              </w:rPr>
            </w:pPr>
            <w:r w:rsidRPr="00DF6F52">
              <w:rPr>
                <w:i/>
                <w:iCs/>
                <w:sz w:val="24"/>
                <w:szCs w:val="24"/>
                <w:lang w:eastAsia="en-IN"/>
              </w:rPr>
              <w:t>Alchornea castaneaefolia</w:t>
            </w:r>
          </w:p>
        </w:tc>
        <w:tc>
          <w:tcPr>
            <w:tcW w:w="0" w:type="auto"/>
            <w:hideMark/>
          </w:tcPr>
          <w:p w14:paraId="70646785" w14:textId="77777777" w:rsidR="00F05C95" w:rsidRPr="00DF6F52" w:rsidRDefault="00F05C95" w:rsidP="00C63654">
            <w:pPr>
              <w:rPr>
                <w:sz w:val="24"/>
                <w:szCs w:val="24"/>
                <w:lang w:eastAsia="en-IN"/>
              </w:rPr>
            </w:pPr>
            <w:r w:rsidRPr="00DF6F52">
              <w:rPr>
                <w:sz w:val="24"/>
                <w:szCs w:val="24"/>
                <w:lang w:eastAsia="en-IN"/>
              </w:rPr>
              <w:t>Flavonoid glycosides (Flavonoid-enriched fraction)</w:t>
            </w:r>
          </w:p>
        </w:tc>
        <w:tc>
          <w:tcPr>
            <w:tcW w:w="0" w:type="auto"/>
            <w:hideMark/>
          </w:tcPr>
          <w:p w14:paraId="56E45BD7" w14:textId="77777777" w:rsidR="00F05C95" w:rsidRPr="00DF6F52" w:rsidRDefault="00F05C95" w:rsidP="00C63654">
            <w:pPr>
              <w:rPr>
                <w:sz w:val="24"/>
                <w:szCs w:val="24"/>
                <w:lang w:eastAsia="en-IN"/>
              </w:rPr>
            </w:pPr>
            <w:r w:rsidRPr="00DF6F52">
              <w:rPr>
                <w:sz w:val="24"/>
                <w:szCs w:val="24"/>
                <w:lang w:eastAsia="en-IN"/>
              </w:rPr>
              <w:t>Increases PGE₂ synthesis; elevates serum somatostatin; suppresses serum gastrin</w:t>
            </w:r>
          </w:p>
        </w:tc>
        <w:tc>
          <w:tcPr>
            <w:tcW w:w="0" w:type="auto"/>
            <w:hideMark/>
          </w:tcPr>
          <w:p w14:paraId="11A43122" w14:textId="77777777" w:rsidR="00F05C95" w:rsidRPr="00DF6F52" w:rsidRDefault="00F05C95" w:rsidP="00C63654">
            <w:pPr>
              <w:rPr>
                <w:sz w:val="24"/>
                <w:szCs w:val="24"/>
                <w:lang w:eastAsia="en-IN"/>
              </w:rPr>
            </w:pPr>
            <w:r w:rsidRPr="00DF6F52">
              <w:rPr>
                <w:sz w:val="24"/>
                <w:szCs w:val="24"/>
                <w:lang w:eastAsia="en-IN"/>
              </w:rPr>
              <w:t>HCl/ethanol, indomethacin/bethanechol, hypothermic restraint stress, acetic acid</w:t>
            </w:r>
          </w:p>
        </w:tc>
        <w:tc>
          <w:tcPr>
            <w:tcW w:w="0" w:type="auto"/>
            <w:hideMark/>
          </w:tcPr>
          <w:p w14:paraId="62FD99A6" w14:textId="77777777" w:rsidR="00F05C95" w:rsidRPr="00DF6F52" w:rsidRDefault="00F05C95" w:rsidP="00C63654">
            <w:pPr>
              <w:rPr>
                <w:sz w:val="24"/>
                <w:szCs w:val="24"/>
                <w:lang w:eastAsia="en-IN"/>
              </w:rPr>
            </w:pPr>
            <w:r w:rsidRPr="00DF6F52">
              <w:rPr>
                <w:sz w:val="24"/>
                <w:szCs w:val="24"/>
                <w:lang w:eastAsia="en-IN"/>
              </w:rPr>
              <w:t>100 mg/kg (flavonoid fraction); 1000 mg/kg (crude)</w:t>
            </w:r>
          </w:p>
        </w:tc>
        <w:tc>
          <w:tcPr>
            <w:tcW w:w="0" w:type="auto"/>
            <w:hideMark/>
          </w:tcPr>
          <w:p w14:paraId="35FC6D44" w14:textId="77777777" w:rsidR="00F05C95" w:rsidRPr="00DF6F52" w:rsidRDefault="00F05C95" w:rsidP="00C63654">
            <w:pPr>
              <w:rPr>
                <w:sz w:val="24"/>
                <w:szCs w:val="24"/>
                <w:lang w:eastAsia="en-IN"/>
              </w:rPr>
            </w:pPr>
            <w:r w:rsidRPr="00DF6F52">
              <w:rPr>
                <w:sz w:val="24"/>
                <w:szCs w:val="24"/>
                <w:lang w:eastAsia="en-IN"/>
              </w:rPr>
              <w:t xml:space="preserve">(Prayoga et al., 2024) </w:t>
            </w:r>
          </w:p>
        </w:tc>
      </w:tr>
      <w:tr w:rsidR="00F05C95" w:rsidRPr="00DF6F52" w14:paraId="127F632A" w14:textId="77777777" w:rsidTr="00C63654">
        <w:trPr>
          <w:trHeight w:val="784"/>
        </w:trPr>
        <w:tc>
          <w:tcPr>
            <w:tcW w:w="0" w:type="auto"/>
            <w:hideMark/>
          </w:tcPr>
          <w:p w14:paraId="6F8A49F8" w14:textId="77777777" w:rsidR="00F05C95" w:rsidRPr="00DF6F52" w:rsidRDefault="00F05C95" w:rsidP="00C63654">
            <w:pPr>
              <w:rPr>
                <w:sz w:val="24"/>
                <w:szCs w:val="24"/>
                <w:lang w:eastAsia="en-IN"/>
              </w:rPr>
            </w:pPr>
            <w:r w:rsidRPr="00DF6F52">
              <w:rPr>
                <w:i/>
                <w:iCs/>
                <w:sz w:val="24"/>
                <w:szCs w:val="24"/>
                <w:lang w:eastAsia="en-IN"/>
              </w:rPr>
              <w:t>Decalepis salicifolia</w:t>
            </w:r>
          </w:p>
        </w:tc>
        <w:tc>
          <w:tcPr>
            <w:tcW w:w="0" w:type="auto"/>
            <w:hideMark/>
          </w:tcPr>
          <w:p w14:paraId="2744A0D6" w14:textId="77777777" w:rsidR="00F05C95" w:rsidRPr="00DF6F52" w:rsidRDefault="00F05C95" w:rsidP="00C63654">
            <w:pPr>
              <w:rPr>
                <w:sz w:val="24"/>
                <w:szCs w:val="24"/>
                <w:lang w:eastAsia="en-IN"/>
              </w:rPr>
            </w:pPr>
            <w:r w:rsidRPr="00DF6F52">
              <w:rPr>
                <w:sz w:val="24"/>
                <w:szCs w:val="24"/>
                <w:lang w:eastAsia="en-IN"/>
              </w:rPr>
              <w:t>Polysaccharides / Antioxidant fractions</w:t>
            </w:r>
          </w:p>
        </w:tc>
        <w:tc>
          <w:tcPr>
            <w:tcW w:w="0" w:type="auto"/>
            <w:hideMark/>
          </w:tcPr>
          <w:p w14:paraId="0EDB0165" w14:textId="77777777" w:rsidR="00F05C95" w:rsidRPr="00DF6F52" w:rsidRDefault="00F05C95" w:rsidP="00C63654">
            <w:pPr>
              <w:rPr>
                <w:sz w:val="24"/>
                <w:szCs w:val="24"/>
                <w:lang w:eastAsia="en-IN"/>
              </w:rPr>
            </w:pPr>
            <w:r w:rsidRPr="00DF6F52">
              <w:rPr>
                <w:sz w:val="24"/>
                <w:szCs w:val="24"/>
                <w:lang w:eastAsia="en-IN"/>
              </w:rPr>
              <w:t>Increases gastric wall mucus and SOD; reduces lipid peroxidation and plasma corticosterone</w:t>
            </w:r>
          </w:p>
        </w:tc>
        <w:tc>
          <w:tcPr>
            <w:tcW w:w="0" w:type="auto"/>
            <w:hideMark/>
          </w:tcPr>
          <w:p w14:paraId="02D13665" w14:textId="77777777" w:rsidR="00F05C95" w:rsidRPr="00DF6F52" w:rsidRDefault="00F05C95" w:rsidP="00C63654">
            <w:pPr>
              <w:rPr>
                <w:sz w:val="24"/>
                <w:szCs w:val="24"/>
                <w:lang w:eastAsia="en-IN"/>
              </w:rPr>
            </w:pPr>
            <w:r w:rsidRPr="00DF6F52">
              <w:rPr>
                <w:sz w:val="24"/>
                <w:szCs w:val="24"/>
                <w:lang w:eastAsia="en-IN"/>
              </w:rPr>
              <w:t>Pylorus ligation, aspirin, ethanol, cold-restraint stress, acetic acid, cysteamine</w:t>
            </w:r>
          </w:p>
        </w:tc>
        <w:tc>
          <w:tcPr>
            <w:tcW w:w="0" w:type="auto"/>
            <w:hideMark/>
          </w:tcPr>
          <w:p w14:paraId="2F2064BC" w14:textId="77777777" w:rsidR="00F05C95" w:rsidRPr="00DF6F52" w:rsidRDefault="00F05C95" w:rsidP="00C63654">
            <w:pPr>
              <w:rPr>
                <w:sz w:val="24"/>
                <w:szCs w:val="24"/>
                <w:lang w:eastAsia="en-IN"/>
              </w:rPr>
            </w:pPr>
            <w:r w:rsidRPr="00DF6F52">
              <w:rPr>
                <w:sz w:val="24"/>
                <w:szCs w:val="24"/>
                <w:lang w:eastAsia="en-IN"/>
              </w:rPr>
              <w:t>100 and 200 mg/kg</w:t>
            </w:r>
          </w:p>
        </w:tc>
        <w:tc>
          <w:tcPr>
            <w:tcW w:w="0" w:type="auto"/>
            <w:hideMark/>
          </w:tcPr>
          <w:p w14:paraId="08C541F1" w14:textId="77777777" w:rsidR="00F05C95" w:rsidRPr="00DF6F52" w:rsidRDefault="00F05C95" w:rsidP="00C63654">
            <w:pPr>
              <w:rPr>
                <w:sz w:val="24"/>
                <w:szCs w:val="24"/>
                <w:lang w:eastAsia="en-IN"/>
              </w:rPr>
            </w:pPr>
            <w:r w:rsidRPr="00DF6F52">
              <w:rPr>
                <w:sz w:val="24"/>
                <w:szCs w:val="24"/>
                <w:lang w:eastAsia="en-IN"/>
              </w:rPr>
              <w:t xml:space="preserve">(Rao et al., 2004) </w:t>
            </w:r>
          </w:p>
        </w:tc>
      </w:tr>
      <w:tr w:rsidR="00F05C95" w:rsidRPr="00DF6F52" w14:paraId="4FF76B21" w14:textId="77777777" w:rsidTr="00C63654">
        <w:trPr>
          <w:trHeight w:val="784"/>
        </w:trPr>
        <w:tc>
          <w:tcPr>
            <w:tcW w:w="0" w:type="auto"/>
            <w:hideMark/>
          </w:tcPr>
          <w:p w14:paraId="3C0C06F8" w14:textId="77777777" w:rsidR="00F05C95" w:rsidRPr="00DF6F52" w:rsidRDefault="00F05C95" w:rsidP="00C63654">
            <w:pPr>
              <w:rPr>
                <w:sz w:val="24"/>
                <w:szCs w:val="24"/>
                <w:lang w:eastAsia="en-IN"/>
              </w:rPr>
            </w:pPr>
            <w:r w:rsidRPr="00DF6F52">
              <w:rPr>
                <w:i/>
                <w:iCs/>
                <w:sz w:val="24"/>
                <w:szCs w:val="24"/>
                <w:lang w:eastAsia="en-IN"/>
              </w:rPr>
              <w:t>Solanum nigrum</w:t>
            </w:r>
          </w:p>
        </w:tc>
        <w:tc>
          <w:tcPr>
            <w:tcW w:w="0" w:type="auto"/>
            <w:hideMark/>
          </w:tcPr>
          <w:p w14:paraId="3474213A" w14:textId="77777777" w:rsidR="00F05C95" w:rsidRPr="00DF6F52" w:rsidRDefault="00F05C95" w:rsidP="00C63654">
            <w:pPr>
              <w:rPr>
                <w:sz w:val="24"/>
                <w:szCs w:val="24"/>
                <w:lang w:eastAsia="en-IN"/>
              </w:rPr>
            </w:pPr>
            <w:r w:rsidRPr="00DF6F52">
              <w:rPr>
                <w:sz w:val="24"/>
                <w:szCs w:val="24"/>
                <w:lang w:eastAsia="en-IN"/>
              </w:rPr>
              <w:t>Fruit and aerial part extracts</w:t>
            </w:r>
          </w:p>
        </w:tc>
        <w:tc>
          <w:tcPr>
            <w:tcW w:w="0" w:type="auto"/>
            <w:hideMark/>
          </w:tcPr>
          <w:p w14:paraId="662B6C55" w14:textId="77777777" w:rsidR="00F05C95" w:rsidRPr="00DF6F52" w:rsidRDefault="00F05C95" w:rsidP="00C63654">
            <w:pPr>
              <w:rPr>
                <w:sz w:val="24"/>
                <w:szCs w:val="24"/>
                <w:lang w:eastAsia="en-IN"/>
              </w:rPr>
            </w:pPr>
            <w:r w:rsidRPr="00DF6F52">
              <w:rPr>
                <w:sz w:val="24"/>
                <w:szCs w:val="24"/>
                <w:lang w:eastAsia="en-IN"/>
              </w:rPr>
              <w:t>Lowers gastric acid/pepsin; suppresses gastrin; inhibits H+/K+-ATPase; boosts antioxidants</w:t>
            </w:r>
          </w:p>
        </w:tc>
        <w:tc>
          <w:tcPr>
            <w:tcW w:w="0" w:type="auto"/>
            <w:hideMark/>
          </w:tcPr>
          <w:p w14:paraId="2AE7F6E9" w14:textId="77777777" w:rsidR="00F05C95" w:rsidRPr="00DF6F52" w:rsidRDefault="00F05C95" w:rsidP="00C63654">
            <w:pPr>
              <w:rPr>
                <w:sz w:val="24"/>
                <w:szCs w:val="24"/>
                <w:lang w:eastAsia="en-IN"/>
              </w:rPr>
            </w:pPr>
            <w:r w:rsidRPr="00DF6F52">
              <w:rPr>
                <w:sz w:val="24"/>
                <w:szCs w:val="24"/>
                <w:lang w:eastAsia="en-IN"/>
              </w:rPr>
              <w:t>Stress, indomethacin, pyloric ligation, ethanol, acetic acid</w:t>
            </w:r>
          </w:p>
        </w:tc>
        <w:tc>
          <w:tcPr>
            <w:tcW w:w="0" w:type="auto"/>
            <w:hideMark/>
          </w:tcPr>
          <w:p w14:paraId="1FF8100E" w14:textId="77777777" w:rsidR="00F05C95" w:rsidRPr="00DF6F52" w:rsidRDefault="00F05C95" w:rsidP="00C63654">
            <w:pPr>
              <w:rPr>
                <w:sz w:val="24"/>
                <w:szCs w:val="24"/>
                <w:lang w:eastAsia="en-IN"/>
              </w:rPr>
            </w:pPr>
            <w:r w:rsidRPr="00DF6F52">
              <w:rPr>
                <w:sz w:val="24"/>
                <w:szCs w:val="24"/>
                <w:lang w:eastAsia="en-IN"/>
              </w:rPr>
              <w:t>Higher doses (dose-dependent)</w:t>
            </w:r>
          </w:p>
        </w:tc>
        <w:tc>
          <w:tcPr>
            <w:tcW w:w="0" w:type="auto"/>
            <w:hideMark/>
          </w:tcPr>
          <w:p w14:paraId="0A8CA089" w14:textId="77777777" w:rsidR="00F05C95" w:rsidRPr="00DF6F52" w:rsidRDefault="00F05C95" w:rsidP="00C63654">
            <w:pPr>
              <w:rPr>
                <w:sz w:val="24"/>
                <w:szCs w:val="24"/>
                <w:lang w:eastAsia="en-IN"/>
              </w:rPr>
            </w:pPr>
            <w:r w:rsidRPr="00DF6F52">
              <w:rPr>
                <w:sz w:val="24"/>
                <w:szCs w:val="24"/>
                <w:lang w:eastAsia="en-IN"/>
              </w:rPr>
              <w:t xml:space="preserve">(Jainu &amp; Devi, 2006) </w:t>
            </w:r>
          </w:p>
        </w:tc>
      </w:tr>
      <w:tr w:rsidR="00F05C95" w:rsidRPr="00DF6F52" w14:paraId="1DDE4E46" w14:textId="77777777" w:rsidTr="00C63654">
        <w:trPr>
          <w:trHeight w:val="784"/>
        </w:trPr>
        <w:tc>
          <w:tcPr>
            <w:tcW w:w="0" w:type="auto"/>
            <w:hideMark/>
          </w:tcPr>
          <w:p w14:paraId="61D5B624" w14:textId="77777777" w:rsidR="00F05C95" w:rsidRPr="00DF6F52" w:rsidRDefault="00F05C95" w:rsidP="00C63654">
            <w:pPr>
              <w:rPr>
                <w:sz w:val="24"/>
                <w:szCs w:val="24"/>
                <w:lang w:eastAsia="en-IN"/>
              </w:rPr>
            </w:pPr>
            <w:r w:rsidRPr="00DF6F52">
              <w:rPr>
                <w:i/>
                <w:iCs/>
                <w:sz w:val="24"/>
                <w:szCs w:val="24"/>
                <w:lang w:eastAsia="en-IN"/>
              </w:rPr>
              <w:t>Ocimum tenuiflorum</w:t>
            </w:r>
          </w:p>
        </w:tc>
        <w:tc>
          <w:tcPr>
            <w:tcW w:w="0" w:type="auto"/>
            <w:hideMark/>
          </w:tcPr>
          <w:p w14:paraId="5EB96528" w14:textId="77777777" w:rsidR="00F05C95" w:rsidRPr="00DF6F52" w:rsidRDefault="00F05C95" w:rsidP="00C63654">
            <w:pPr>
              <w:rPr>
                <w:sz w:val="24"/>
                <w:szCs w:val="24"/>
                <w:lang w:eastAsia="en-IN"/>
              </w:rPr>
            </w:pPr>
            <w:r w:rsidRPr="00DF6F52">
              <w:rPr>
                <w:sz w:val="24"/>
                <w:szCs w:val="24"/>
                <w:lang w:eastAsia="en-IN"/>
              </w:rPr>
              <w:t>Ethanolic leaf extract, fixed seed oil</w:t>
            </w:r>
          </w:p>
        </w:tc>
        <w:tc>
          <w:tcPr>
            <w:tcW w:w="0" w:type="auto"/>
            <w:hideMark/>
          </w:tcPr>
          <w:p w14:paraId="096AA6D2" w14:textId="77777777" w:rsidR="00F05C95" w:rsidRPr="00DF6F52" w:rsidRDefault="00F05C95" w:rsidP="00C63654">
            <w:pPr>
              <w:rPr>
                <w:sz w:val="24"/>
                <w:szCs w:val="24"/>
                <w:lang w:eastAsia="en-IN"/>
              </w:rPr>
            </w:pPr>
            <w:r w:rsidRPr="00DF6F52">
              <w:rPr>
                <w:sz w:val="24"/>
                <w:szCs w:val="24"/>
                <w:lang w:eastAsia="en-IN"/>
              </w:rPr>
              <w:t>Reduces free/total acidity and peptic activity; enhances mucus secretion and epithelial regeneration</w:t>
            </w:r>
          </w:p>
        </w:tc>
        <w:tc>
          <w:tcPr>
            <w:tcW w:w="0" w:type="auto"/>
            <w:hideMark/>
          </w:tcPr>
          <w:p w14:paraId="5B8E805B" w14:textId="77777777" w:rsidR="00F05C95" w:rsidRPr="00DF6F52" w:rsidRDefault="00F05C95" w:rsidP="00C63654">
            <w:pPr>
              <w:rPr>
                <w:sz w:val="24"/>
                <w:szCs w:val="24"/>
                <w:lang w:eastAsia="en-IN"/>
              </w:rPr>
            </w:pPr>
            <w:r w:rsidRPr="00DF6F52">
              <w:rPr>
                <w:sz w:val="24"/>
                <w:szCs w:val="24"/>
                <w:lang w:eastAsia="en-IN"/>
              </w:rPr>
              <w:t>Cold-restraint stress, aspirin, alcohol, pylorus ligation, histamine</w:t>
            </w:r>
          </w:p>
        </w:tc>
        <w:tc>
          <w:tcPr>
            <w:tcW w:w="0" w:type="auto"/>
            <w:hideMark/>
          </w:tcPr>
          <w:p w14:paraId="04DF1A80" w14:textId="77777777" w:rsidR="00F05C95" w:rsidRPr="00DF6F52" w:rsidRDefault="00F05C95" w:rsidP="00C63654">
            <w:pPr>
              <w:rPr>
                <w:sz w:val="24"/>
                <w:szCs w:val="24"/>
                <w:lang w:eastAsia="en-IN"/>
              </w:rPr>
            </w:pPr>
            <w:r w:rsidRPr="00DF6F52">
              <w:rPr>
                <w:sz w:val="24"/>
                <w:szCs w:val="24"/>
                <w:lang w:eastAsia="en-IN"/>
              </w:rPr>
              <w:t>100 mg/kg</w:t>
            </w:r>
          </w:p>
        </w:tc>
        <w:tc>
          <w:tcPr>
            <w:tcW w:w="0" w:type="auto"/>
            <w:hideMark/>
          </w:tcPr>
          <w:p w14:paraId="7E084224" w14:textId="77777777" w:rsidR="00F05C95" w:rsidRPr="00DF6F52" w:rsidRDefault="00F05C95" w:rsidP="00C63654">
            <w:pPr>
              <w:rPr>
                <w:sz w:val="24"/>
                <w:szCs w:val="24"/>
                <w:lang w:eastAsia="en-IN"/>
              </w:rPr>
            </w:pPr>
            <w:r w:rsidRPr="00DF6F52">
              <w:rPr>
                <w:sz w:val="24"/>
                <w:szCs w:val="24"/>
                <w:lang w:eastAsia="en-IN"/>
              </w:rPr>
              <w:t xml:space="preserve">(Kuna et al., 2019) </w:t>
            </w:r>
          </w:p>
        </w:tc>
      </w:tr>
      <w:tr w:rsidR="00F05C95" w:rsidRPr="00DF6F52" w14:paraId="16F08F82" w14:textId="77777777" w:rsidTr="00C63654">
        <w:trPr>
          <w:trHeight w:val="769"/>
        </w:trPr>
        <w:tc>
          <w:tcPr>
            <w:tcW w:w="0" w:type="auto"/>
            <w:hideMark/>
          </w:tcPr>
          <w:p w14:paraId="746D9C2F" w14:textId="77777777" w:rsidR="00F05C95" w:rsidRPr="00DF6F52" w:rsidRDefault="00F05C95" w:rsidP="00C63654">
            <w:pPr>
              <w:rPr>
                <w:sz w:val="24"/>
                <w:szCs w:val="24"/>
                <w:lang w:eastAsia="en-IN"/>
              </w:rPr>
            </w:pPr>
            <w:r w:rsidRPr="00DF6F52">
              <w:rPr>
                <w:i/>
                <w:iCs/>
                <w:sz w:val="24"/>
                <w:szCs w:val="24"/>
                <w:lang w:eastAsia="en-IN"/>
              </w:rPr>
              <w:t>Asparagus racemosus</w:t>
            </w:r>
          </w:p>
        </w:tc>
        <w:tc>
          <w:tcPr>
            <w:tcW w:w="0" w:type="auto"/>
            <w:hideMark/>
          </w:tcPr>
          <w:p w14:paraId="2C0D9F3A" w14:textId="77777777" w:rsidR="00F05C95" w:rsidRPr="00DF6F52" w:rsidRDefault="00F05C95" w:rsidP="00C63654">
            <w:pPr>
              <w:rPr>
                <w:sz w:val="24"/>
                <w:szCs w:val="24"/>
                <w:lang w:eastAsia="en-IN"/>
              </w:rPr>
            </w:pPr>
            <w:r w:rsidRPr="00DF6F52">
              <w:rPr>
                <w:sz w:val="24"/>
                <w:szCs w:val="24"/>
                <w:lang w:eastAsia="en-IN"/>
              </w:rPr>
              <w:t>Polysaccharide fraction</w:t>
            </w:r>
          </w:p>
        </w:tc>
        <w:tc>
          <w:tcPr>
            <w:tcW w:w="0" w:type="auto"/>
            <w:hideMark/>
          </w:tcPr>
          <w:p w14:paraId="21A23A21" w14:textId="77777777" w:rsidR="00F05C95" w:rsidRPr="00DF6F52" w:rsidRDefault="00F05C95" w:rsidP="00C63654">
            <w:pPr>
              <w:rPr>
                <w:sz w:val="24"/>
                <w:szCs w:val="24"/>
                <w:lang w:eastAsia="en-IN"/>
              </w:rPr>
            </w:pPr>
            <w:r w:rsidRPr="00DF6F52">
              <w:rPr>
                <w:sz w:val="24"/>
                <w:szCs w:val="24"/>
                <w:lang w:eastAsia="en-IN"/>
              </w:rPr>
              <w:t>Purely cytoprotective (increases mucopolysaccharides/carbohydrates); reduces lipid peroxidation</w:t>
            </w:r>
          </w:p>
        </w:tc>
        <w:tc>
          <w:tcPr>
            <w:tcW w:w="0" w:type="auto"/>
            <w:hideMark/>
          </w:tcPr>
          <w:p w14:paraId="679CD775" w14:textId="77777777" w:rsidR="00F05C95" w:rsidRPr="00DF6F52" w:rsidRDefault="00F05C95" w:rsidP="00C63654">
            <w:pPr>
              <w:rPr>
                <w:sz w:val="24"/>
                <w:szCs w:val="24"/>
                <w:lang w:eastAsia="en-IN"/>
              </w:rPr>
            </w:pPr>
            <w:r w:rsidRPr="00DF6F52">
              <w:rPr>
                <w:sz w:val="24"/>
                <w:szCs w:val="24"/>
                <w:lang w:eastAsia="en-IN"/>
              </w:rPr>
              <w:t>Cold-restraint stress, pyloric ligation, acetic acid, cysteamine</w:t>
            </w:r>
          </w:p>
        </w:tc>
        <w:tc>
          <w:tcPr>
            <w:tcW w:w="0" w:type="auto"/>
            <w:hideMark/>
          </w:tcPr>
          <w:p w14:paraId="07028AAF" w14:textId="77777777" w:rsidR="00F05C95" w:rsidRPr="00DF6F52" w:rsidRDefault="00F05C95" w:rsidP="00C63654">
            <w:pPr>
              <w:rPr>
                <w:sz w:val="24"/>
                <w:szCs w:val="24"/>
                <w:lang w:eastAsia="en-IN"/>
              </w:rPr>
            </w:pPr>
            <w:r w:rsidRPr="00DF6F52">
              <w:rPr>
                <w:sz w:val="24"/>
                <w:szCs w:val="24"/>
                <w:lang w:eastAsia="en-IN"/>
              </w:rPr>
              <w:t>Dose-dependent</w:t>
            </w:r>
          </w:p>
        </w:tc>
        <w:tc>
          <w:tcPr>
            <w:tcW w:w="0" w:type="auto"/>
            <w:hideMark/>
          </w:tcPr>
          <w:p w14:paraId="078F13A0" w14:textId="77777777" w:rsidR="00F05C95" w:rsidRPr="00DF6F52" w:rsidRDefault="00F05C95" w:rsidP="00C63654">
            <w:pPr>
              <w:rPr>
                <w:sz w:val="24"/>
                <w:szCs w:val="24"/>
                <w:lang w:eastAsia="en-IN"/>
              </w:rPr>
            </w:pPr>
            <w:r w:rsidRPr="00DF6F52">
              <w:rPr>
                <w:sz w:val="24"/>
                <w:szCs w:val="24"/>
                <w:lang w:eastAsia="en-IN"/>
              </w:rPr>
              <w:t xml:space="preserve">(Prayoga et al., 2024) </w:t>
            </w:r>
          </w:p>
        </w:tc>
      </w:tr>
      <w:tr w:rsidR="00F05C95" w:rsidRPr="00DF6F52" w14:paraId="005DF546" w14:textId="77777777" w:rsidTr="00C63654">
        <w:trPr>
          <w:trHeight w:val="1040"/>
        </w:trPr>
        <w:tc>
          <w:tcPr>
            <w:tcW w:w="0" w:type="auto"/>
            <w:hideMark/>
          </w:tcPr>
          <w:p w14:paraId="25BE326A" w14:textId="77777777" w:rsidR="00F05C95" w:rsidRPr="00DF6F52" w:rsidRDefault="00F05C95" w:rsidP="00C63654">
            <w:pPr>
              <w:rPr>
                <w:sz w:val="24"/>
                <w:szCs w:val="24"/>
                <w:lang w:eastAsia="en-IN"/>
              </w:rPr>
            </w:pPr>
            <w:r w:rsidRPr="00DF6F52">
              <w:rPr>
                <w:i/>
                <w:iCs/>
                <w:sz w:val="24"/>
                <w:szCs w:val="24"/>
                <w:lang w:eastAsia="en-IN"/>
              </w:rPr>
              <w:t>Curcuma longa</w:t>
            </w:r>
          </w:p>
        </w:tc>
        <w:tc>
          <w:tcPr>
            <w:tcW w:w="0" w:type="auto"/>
            <w:hideMark/>
          </w:tcPr>
          <w:p w14:paraId="0CA0CB3A" w14:textId="77777777" w:rsidR="00F05C95" w:rsidRPr="00DF6F52" w:rsidRDefault="00F05C95" w:rsidP="00C63654">
            <w:pPr>
              <w:rPr>
                <w:sz w:val="24"/>
                <w:szCs w:val="24"/>
                <w:lang w:eastAsia="en-IN"/>
              </w:rPr>
            </w:pPr>
            <w:r w:rsidRPr="00DF6F52">
              <w:rPr>
                <w:sz w:val="24"/>
                <w:szCs w:val="24"/>
                <w:lang w:eastAsia="en-IN"/>
              </w:rPr>
              <w:t>Curcumin</w:t>
            </w:r>
          </w:p>
        </w:tc>
        <w:tc>
          <w:tcPr>
            <w:tcW w:w="0" w:type="auto"/>
            <w:hideMark/>
          </w:tcPr>
          <w:p w14:paraId="0FA124D3" w14:textId="77777777" w:rsidR="00F05C95" w:rsidRPr="00DF6F52" w:rsidRDefault="00F05C95" w:rsidP="00C63654">
            <w:pPr>
              <w:rPr>
                <w:sz w:val="24"/>
                <w:szCs w:val="24"/>
                <w:lang w:eastAsia="en-IN"/>
              </w:rPr>
            </w:pPr>
            <w:r w:rsidRPr="00DF6F52">
              <w:rPr>
                <w:sz w:val="24"/>
                <w:szCs w:val="24"/>
                <w:lang w:eastAsia="en-IN"/>
              </w:rPr>
              <w:t>Improves gastric mucus function; regulates inflammatory gene expression; reduces gastric acid</w:t>
            </w:r>
          </w:p>
        </w:tc>
        <w:tc>
          <w:tcPr>
            <w:tcW w:w="0" w:type="auto"/>
            <w:hideMark/>
          </w:tcPr>
          <w:p w14:paraId="340E6155" w14:textId="77777777" w:rsidR="00F05C95" w:rsidRPr="00DF6F52" w:rsidRDefault="00F05C95" w:rsidP="00C63654">
            <w:pPr>
              <w:rPr>
                <w:sz w:val="24"/>
                <w:szCs w:val="24"/>
                <w:lang w:eastAsia="en-IN"/>
              </w:rPr>
            </w:pPr>
            <w:r w:rsidRPr="00DF6F52">
              <w:rPr>
                <w:sz w:val="24"/>
                <w:szCs w:val="24"/>
                <w:lang w:eastAsia="en-IN"/>
              </w:rPr>
              <w:t>Acute acid reflux esophagitis</w:t>
            </w:r>
          </w:p>
        </w:tc>
        <w:tc>
          <w:tcPr>
            <w:tcW w:w="0" w:type="auto"/>
            <w:hideMark/>
          </w:tcPr>
          <w:p w14:paraId="26B8D9F0" w14:textId="77777777" w:rsidR="00F05C95" w:rsidRPr="00DF6F52" w:rsidRDefault="00F05C95" w:rsidP="00C63654">
            <w:pPr>
              <w:rPr>
                <w:sz w:val="24"/>
                <w:szCs w:val="24"/>
                <w:lang w:eastAsia="en-IN"/>
              </w:rPr>
            </w:pPr>
            <w:r w:rsidRPr="00DF6F52">
              <w:rPr>
                <w:sz w:val="24"/>
                <w:szCs w:val="24"/>
                <w:lang w:eastAsia="en-IN"/>
              </w:rPr>
              <w:t>Not specified (comparable to lansoprazole)</w:t>
            </w:r>
          </w:p>
        </w:tc>
        <w:tc>
          <w:tcPr>
            <w:tcW w:w="0" w:type="auto"/>
            <w:hideMark/>
          </w:tcPr>
          <w:p w14:paraId="1C8DA0C9" w14:textId="77777777" w:rsidR="00F05C95" w:rsidRPr="00DF6F52" w:rsidRDefault="00F05C95" w:rsidP="00C63654">
            <w:pPr>
              <w:rPr>
                <w:sz w:val="24"/>
                <w:szCs w:val="24"/>
                <w:lang w:eastAsia="en-IN"/>
              </w:rPr>
            </w:pPr>
            <w:r w:rsidRPr="00DF6F52">
              <w:rPr>
                <w:sz w:val="24"/>
                <w:szCs w:val="24"/>
                <w:lang w:eastAsia="en-IN"/>
              </w:rPr>
              <w:t xml:space="preserve">(Mahattanadul et al., 2006) </w:t>
            </w:r>
          </w:p>
        </w:tc>
      </w:tr>
    </w:tbl>
    <w:p w14:paraId="538E038B" w14:textId="77777777" w:rsidR="00F05C95" w:rsidRPr="00DF6F52" w:rsidRDefault="00F05C95" w:rsidP="00DF6F52">
      <w:pPr>
        <w:rPr>
          <w:rFonts w:ascii="Times New Roman" w:eastAsia="Times New Roman" w:hAnsi="Times New Roman" w:cs="Times New Roman"/>
          <w:sz w:val="24"/>
          <w:szCs w:val="24"/>
          <w:lang w:eastAsia="en-IN"/>
        </w:rPr>
      </w:pPr>
      <w:r w:rsidRPr="00DF6F52">
        <w:rPr>
          <w:rFonts w:ascii="Times New Roman" w:eastAsia="Times New Roman" w:hAnsi="Times New Roman" w:cs="Times New Roman"/>
          <w:b/>
          <w:bCs/>
          <w:sz w:val="24"/>
          <w:szCs w:val="24"/>
          <w:lang w:eastAsia="en-IN"/>
        </w:rPr>
        <w:t>Table 2: Comparative Safety and Biopharmaceutical Profiles of Synthetic Anti-Ulcer Agents versus Phytochemicals</w:t>
      </w:r>
    </w:p>
    <w:tbl>
      <w:tblPr>
        <w:tblStyle w:val="TableGrid"/>
        <w:tblW w:w="14681" w:type="dxa"/>
        <w:tblLook w:val="04A0" w:firstRow="1" w:lastRow="0" w:firstColumn="1" w:lastColumn="0" w:noHBand="0" w:noVBand="1"/>
      </w:tblPr>
      <w:tblGrid>
        <w:gridCol w:w="3040"/>
        <w:gridCol w:w="5007"/>
        <w:gridCol w:w="4528"/>
        <w:gridCol w:w="2106"/>
      </w:tblGrid>
      <w:tr w:rsidR="00F05C95" w:rsidRPr="00DF6F52" w14:paraId="47DFC7FA" w14:textId="77777777" w:rsidTr="00C63654">
        <w:trPr>
          <w:trHeight w:val="530"/>
        </w:trPr>
        <w:tc>
          <w:tcPr>
            <w:tcW w:w="0" w:type="auto"/>
            <w:hideMark/>
          </w:tcPr>
          <w:p w14:paraId="0A2AD5F9" w14:textId="77777777" w:rsidR="00F05C95" w:rsidRPr="00DF6F52" w:rsidRDefault="00F05C95" w:rsidP="00C63654">
            <w:pPr>
              <w:rPr>
                <w:sz w:val="24"/>
                <w:szCs w:val="24"/>
                <w:lang w:eastAsia="en-IN"/>
              </w:rPr>
            </w:pPr>
            <w:r w:rsidRPr="00DF6F52">
              <w:rPr>
                <w:b/>
                <w:bCs/>
                <w:sz w:val="24"/>
                <w:szCs w:val="24"/>
                <w:lang w:eastAsia="en-IN"/>
              </w:rPr>
              <w:t>Therapeutic Agent / Class</w:t>
            </w:r>
          </w:p>
        </w:tc>
        <w:tc>
          <w:tcPr>
            <w:tcW w:w="0" w:type="auto"/>
            <w:hideMark/>
          </w:tcPr>
          <w:p w14:paraId="285F6935" w14:textId="77777777" w:rsidR="00F05C95" w:rsidRPr="00DF6F52" w:rsidRDefault="00F05C95" w:rsidP="00C63654">
            <w:pPr>
              <w:rPr>
                <w:sz w:val="24"/>
                <w:szCs w:val="24"/>
                <w:lang w:eastAsia="en-IN"/>
              </w:rPr>
            </w:pPr>
            <w:r w:rsidRPr="00DF6F52">
              <w:rPr>
                <w:b/>
                <w:bCs/>
                <w:sz w:val="24"/>
                <w:szCs w:val="24"/>
                <w:lang w:eastAsia="en-IN"/>
              </w:rPr>
              <w:t>Biopharmaceutical &amp; Pharmacokinetic Profile</w:t>
            </w:r>
          </w:p>
        </w:tc>
        <w:tc>
          <w:tcPr>
            <w:tcW w:w="0" w:type="auto"/>
            <w:hideMark/>
          </w:tcPr>
          <w:p w14:paraId="6F53CF1F" w14:textId="77777777" w:rsidR="00F05C95" w:rsidRPr="00DF6F52" w:rsidRDefault="00F05C95" w:rsidP="00C63654">
            <w:pPr>
              <w:rPr>
                <w:sz w:val="24"/>
                <w:szCs w:val="24"/>
                <w:lang w:eastAsia="en-IN"/>
              </w:rPr>
            </w:pPr>
            <w:r w:rsidRPr="00DF6F52">
              <w:rPr>
                <w:b/>
                <w:bCs/>
                <w:sz w:val="24"/>
                <w:szCs w:val="24"/>
                <w:lang w:eastAsia="en-IN"/>
              </w:rPr>
              <w:t>Key Adverse Effects &amp; Clinical Limitations</w:t>
            </w:r>
          </w:p>
        </w:tc>
        <w:tc>
          <w:tcPr>
            <w:tcW w:w="0" w:type="auto"/>
            <w:hideMark/>
          </w:tcPr>
          <w:p w14:paraId="7D3DD34A" w14:textId="77777777" w:rsidR="00F05C95" w:rsidRPr="00DF6F52" w:rsidRDefault="00F05C95" w:rsidP="00C63654">
            <w:pPr>
              <w:rPr>
                <w:sz w:val="24"/>
                <w:szCs w:val="24"/>
                <w:lang w:eastAsia="en-IN"/>
              </w:rPr>
            </w:pPr>
            <w:r w:rsidRPr="00DF6F52">
              <w:rPr>
                <w:b/>
                <w:bCs/>
                <w:sz w:val="24"/>
                <w:szCs w:val="24"/>
                <w:lang w:eastAsia="en-IN"/>
              </w:rPr>
              <w:t>References (APA)</w:t>
            </w:r>
          </w:p>
        </w:tc>
      </w:tr>
      <w:tr w:rsidR="00F05C95" w:rsidRPr="00DF6F52" w14:paraId="37F3422C" w14:textId="77777777" w:rsidTr="00C63654">
        <w:trPr>
          <w:trHeight w:val="70"/>
        </w:trPr>
        <w:tc>
          <w:tcPr>
            <w:tcW w:w="0" w:type="auto"/>
            <w:hideMark/>
          </w:tcPr>
          <w:p w14:paraId="6F0792AA" w14:textId="77777777" w:rsidR="00F05C95" w:rsidRPr="00DF6F52" w:rsidRDefault="00F05C95" w:rsidP="00C63654">
            <w:pPr>
              <w:rPr>
                <w:sz w:val="24"/>
                <w:szCs w:val="24"/>
                <w:lang w:val="sv-SE" w:eastAsia="en-IN"/>
              </w:rPr>
            </w:pPr>
            <w:r w:rsidRPr="00DF6F52">
              <w:rPr>
                <w:b/>
                <w:bCs/>
                <w:sz w:val="24"/>
                <w:szCs w:val="24"/>
                <w:lang w:val="sv-SE" w:eastAsia="en-IN"/>
              </w:rPr>
              <w:t>Proton Pump Inhibitors (PPIs)</w:t>
            </w:r>
            <w:r w:rsidRPr="00DF6F52">
              <w:rPr>
                <w:sz w:val="24"/>
                <w:szCs w:val="24"/>
                <w:lang w:val="sv-SE" w:eastAsia="en-IN"/>
              </w:rPr>
              <w:t xml:space="preserve"> </w:t>
            </w:r>
            <w:r w:rsidRPr="00DF6F52">
              <w:rPr>
                <w:i/>
                <w:iCs/>
                <w:sz w:val="24"/>
                <w:szCs w:val="24"/>
                <w:lang w:val="sv-SE" w:eastAsia="en-IN"/>
              </w:rPr>
              <w:t>(e.g., Omeprazole)</w:t>
            </w:r>
          </w:p>
        </w:tc>
        <w:tc>
          <w:tcPr>
            <w:tcW w:w="0" w:type="auto"/>
            <w:hideMark/>
          </w:tcPr>
          <w:p w14:paraId="10928397" w14:textId="77777777" w:rsidR="00F05C95" w:rsidRPr="00DF6F52" w:rsidRDefault="00F05C95" w:rsidP="00C63654">
            <w:pPr>
              <w:rPr>
                <w:sz w:val="24"/>
                <w:szCs w:val="24"/>
                <w:lang w:eastAsia="en-IN"/>
              </w:rPr>
            </w:pPr>
            <w:r w:rsidRPr="00DF6F52">
              <w:rPr>
                <w:sz w:val="24"/>
                <w:szCs w:val="24"/>
                <w:lang w:eastAsia="en-IN"/>
              </w:rPr>
              <w:t>Requires acidic environment for activation; strongly reduces acid production; acts on H+/K+-ATPase.</w:t>
            </w:r>
          </w:p>
        </w:tc>
        <w:tc>
          <w:tcPr>
            <w:tcW w:w="0" w:type="auto"/>
            <w:hideMark/>
          </w:tcPr>
          <w:p w14:paraId="5FCEE6D5" w14:textId="77777777" w:rsidR="00F05C95" w:rsidRPr="00DF6F52" w:rsidRDefault="00F05C95" w:rsidP="00C63654">
            <w:pPr>
              <w:rPr>
                <w:sz w:val="24"/>
                <w:szCs w:val="24"/>
                <w:lang w:eastAsia="en-IN"/>
              </w:rPr>
            </w:pPr>
            <w:r w:rsidRPr="00DF6F52">
              <w:rPr>
                <w:sz w:val="24"/>
                <w:szCs w:val="24"/>
                <w:lang w:eastAsia="en-IN"/>
              </w:rPr>
              <w:t xml:space="preserve">Vitamin B12 and magnesium malabsorption; increased risk of enteric infections, kidney disease, and osteoporotic </w:t>
            </w:r>
            <w:r w:rsidRPr="00DF6F52">
              <w:rPr>
                <w:sz w:val="24"/>
                <w:szCs w:val="24"/>
                <w:lang w:eastAsia="en-IN"/>
              </w:rPr>
              <w:lastRenderedPageBreak/>
              <w:t>bone fractures with long-term use.</w:t>
            </w:r>
          </w:p>
        </w:tc>
        <w:tc>
          <w:tcPr>
            <w:tcW w:w="0" w:type="auto"/>
            <w:hideMark/>
          </w:tcPr>
          <w:p w14:paraId="1F7A7550" w14:textId="77777777" w:rsidR="00F05C95" w:rsidRPr="00DF6F52" w:rsidRDefault="00F05C95" w:rsidP="00C63654">
            <w:pPr>
              <w:rPr>
                <w:sz w:val="24"/>
                <w:szCs w:val="24"/>
                <w:lang w:eastAsia="en-IN"/>
              </w:rPr>
            </w:pPr>
            <w:r w:rsidRPr="00DF6F52">
              <w:rPr>
                <w:sz w:val="24"/>
                <w:szCs w:val="24"/>
                <w:lang w:eastAsia="en-IN"/>
              </w:rPr>
              <w:lastRenderedPageBreak/>
              <w:t xml:space="preserve">(Shi &amp; Klotz, 2008; Strand, Kim, &amp; Peura, 2017) </w:t>
            </w:r>
          </w:p>
        </w:tc>
      </w:tr>
      <w:tr w:rsidR="00F05C95" w:rsidRPr="00DF6F52" w14:paraId="405C2EFE" w14:textId="77777777" w:rsidTr="00C63654">
        <w:trPr>
          <w:trHeight w:val="141"/>
        </w:trPr>
        <w:tc>
          <w:tcPr>
            <w:tcW w:w="0" w:type="auto"/>
            <w:hideMark/>
          </w:tcPr>
          <w:p w14:paraId="0A3E7019" w14:textId="77777777" w:rsidR="00F05C95" w:rsidRPr="00DF6F52" w:rsidRDefault="00F05C95" w:rsidP="00C63654">
            <w:pPr>
              <w:rPr>
                <w:sz w:val="24"/>
                <w:szCs w:val="24"/>
                <w:lang w:eastAsia="en-IN"/>
              </w:rPr>
            </w:pPr>
            <w:r w:rsidRPr="00DF6F52">
              <w:rPr>
                <w:b/>
                <w:bCs/>
                <w:sz w:val="24"/>
                <w:szCs w:val="24"/>
                <w:lang w:eastAsia="en-IN"/>
              </w:rPr>
              <w:t>Histamine-2 Receptor Antagonists (H2RAs)</w:t>
            </w:r>
            <w:r w:rsidRPr="00DF6F52">
              <w:rPr>
                <w:sz w:val="24"/>
                <w:szCs w:val="24"/>
                <w:lang w:eastAsia="en-IN"/>
              </w:rPr>
              <w:t xml:space="preserve"> </w:t>
            </w:r>
            <w:r w:rsidRPr="00DF6F52">
              <w:rPr>
                <w:i/>
                <w:iCs/>
                <w:sz w:val="24"/>
                <w:szCs w:val="24"/>
                <w:lang w:eastAsia="en-IN"/>
              </w:rPr>
              <w:t>(e.g., Cimetidine, Ranitidine)</w:t>
            </w:r>
          </w:p>
        </w:tc>
        <w:tc>
          <w:tcPr>
            <w:tcW w:w="0" w:type="auto"/>
            <w:hideMark/>
          </w:tcPr>
          <w:p w14:paraId="185F27F5" w14:textId="77777777" w:rsidR="00F05C95" w:rsidRPr="00DF6F52" w:rsidRDefault="00F05C95" w:rsidP="00C63654">
            <w:pPr>
              <w:rPr>
                <w:sz w:val="24"/>
                <w:szCs w:val="24"/>
                <w:lang w:eastAsia="en-IN"/>
              </w:rPr>
            </w:pPr>
            <w:r w:rsidRPr="00DF6F52">
              <w:rPr>
                <w:sz w:val="24"/>
                <w:szCs w:val="24"/>
                <w:lang w:eastAsia="en-IN"/>
              </w:rPr>
              <w:t>Competitively blocks H2 receptors on parietal cells, decreasing cAMP and protein kinase activation.</w:t>
            </w:r>
          </w:p>
        </w:tc>
        <w:tc>
          <w:tcPr>
            <w:tcW w:w="0" w:type="auto"/>
            <w:hideMark/>
          </w:tcPr>
          <w:p w14:paraId="158C9050" w14:textId="77777777" w:rsidR="00F05C95" w:rsidRPr="00DF6F52" w:rsidRDefault="00F05C95" w:rsidP="00C63654">
            <w:pPr>
              <w:rPr>
                <w:sz w:val="24"/>
                <w:szCs w:val="24"/>
                <w:lang w:eastAsia="en-IN"/>
              </w:rPr>
            </w:pPr>
            <w:r w:rsidRPr="00DF6F52">
              <w:rPr>
                <w:sz w:val="24"/>
                <w:szCs w:val="24"/>
                <w:lang w:eastAsia="en-IN"/>
              </w:rPr>
              <w:t>Pharmacological tolerance limits long-term efficacy; cimetidine interacts with liver enzymes (CYP450) and can induce gynecomastia.</w:t>
            </w:r>
          </w:p>
        </w:tc>
        <w:tc>
          <w:tcPr>
            <w:tcW w:w="0" w:type="auto"/>
            <w:hideMark/>
          </w:tcPr>
          <w:p w14:paraId="4C890A47" w14:textId="77777777" w:rsidR="00F05C95" w:rsidRPr="00DF6F52" w:rsidRDefault="00F05C95" w:rsidP="00C63654">
            <w:pPr>
              <w:rPr>
                <w:sz w:val="24"/>
                <w:szCs w:val="24"/>
                <w:lang w:eastAsia="en-IN"/>
              </w:rPr>
            </w:pPr>
            <w:r w:rsidRPr="00DF6F52">
              <w:rPr>
                <w:sz w:val="24"/>
                <w:szCs w:val="24"/>
                <w:lang w:eastAsia="en-IN"/>
              </w:rPr>
              <w:t xml:space="preserve">(Salman et al., 2025) </w:t>
            </w:r>
          </w:p>
        </w:tc>
      </w:tr>
      <w:tr w:rsidR="00F05C95" w:rsidRPr="00DF6F52" w14:paraId="35E2A9AC" w14:textId="77777777" w:rsidTr="00C63654">
        <w:trPr>
          <w:trHeight w:val="141"/>
        </w:trPr>
        <w:tc>
          <w:tcPr>
            <w:tcW w:w="0" w:type="auto"/>
            <w:hideMark/>
          </w:tcPr>
          <w:p w14:paraId="2B83A103" w14:textId="77777777" w:rsidR="00F05C95" w:rsidRPr="00DF6F52" w:rsidRDefault="00F05C95" w:rsidP="00C63654">
            <w:pPr>
              <w:rPr>
                <w:sz w:val="24"/>
                <w:szCs w:val="24"/>
                <w:lang w:eastAsia="en-IN"/>
              </w:rPr>
            </w:pPr>
            <w:r w:rsidRPr="00DF6F52">
              <w:rPr>
                <w:b/>
                <w:bCs/>
                <w:sz w:val="24"/>
                <w:szCs w:val="24"/>
                <w:lang w:eastAsia="en-IN"/>
              </w:rPr>
              <w:t>Antacids</w:t>
            </w:r>
            <w:r w:rsidRPr="00DF6F52">
              <w:rPr>
                <w:sz w:val="24"/>
                <w:szCs w:val="24"/>
                <w:lang w:eastAsia="en-IN"/>
              </w:rPr>
              <w:t xml:space="preserve"> </w:t>
            </w:r>
            <w:r w:rsidRPr="00DF6F52">
              <w:rPr>
                <w:i/>
                <w:iCs/>
                <w:sz w:val="24"/>
                <w:szCs w:val="24"/>
                <w:lang w:eastAsia="en-IN"/>
              </w:rPr>
              <w:t>(Al, Mg, Ca salts)</w:t>
            </w:r>
          </w:p>
        </w:tc>
        <w:tc>
          <w:tcPr>
            <w:tcW w:w="0" w:type="auto"/>
            <w:hideMark/>
          </w:tcPr>
          <w:p w14:paraId="73C4C8A7" w14:textId="77777777" w:rsidR="00F05C95" w:rsidRPr="00DF6F52" w:rsidRDefault="00F05C95" w:rsidP="00C63654">
            <w:pPr>
              <w:rPr>
                <w:sz w:val="24"/>
                <w:szCs w:val="24"/>
                <w:lang w:eastAsia="en-IN"/>
              </w:rPr>
            </w:pPr>
            <w:r w:rsidRPr="00DF6F52">
              <w:rPr>
                <w:sz w:val="24"/>
                <w:szCs w:val="24"/>
                <w:lang w:eastAsia="en-IN"/>
              </w:rPr>
              <w:t>Chemically neutralizes gastric HCl; rapid onset but short duration; alters gastric pH.</w:t>
            </w:r>
          </w:p>
        </w:tc>
        <w:tc>
          <w:tcPr>
            <w:tcW w:w="0" w:type="auto"/>
            <w:hideMark/>
          </w:tcPr>
          <w:p w14:paraId="5F52A354" w14:textId="77777777" w:rsidR="00F05C95" w:rsidRPr="00DF6F52" w:rsidRDefault="00F05C95" w:rsidP="00C63654">
            <w:pPr>
              <w:rPr>
                <w:sz w:val="24"/>
                <w:szCs w:val="24"/>
                <w:lang w:eastAsia="en-IN"/>
              </w:rPr>
            </w:pPr>
            <w:r w:rsidRPr="00DF6F52">
              <w:rPr>
                <w:sz w:val="24"/>
                <w:szCs w:val="24"/>
                <w:lang w:eastAsia="en-IN"/>
              </w:rPr>
              <w:t>Magnesium causes diarrhea; Aluminum causes constipation; Calcium carbonate can cause metabolic alkalosis (milk-alkali syndrome).</w:t>
            </w:r>
          </w:p>
        </w:tc>
        <w:tc>
          <w:tcPr>
            <w:tcW w:w="0" w:type="auto"/>
            <w:hideMark/>
          </w:tcPr>
          <w:p w14:paraId="0050C6AE" w14:textId="77777777" w:rsidR="00F05C95" w:rsidRPr="00DF6F52" w:rsidRDefault="00F05C95" w:rsidP="00C63654">
            <w:pPr>
              <w:rPr>
                <w:sz w:val="24"/>
                <w:szCs w:val="24"/>
                <w:lang w:eastAsia="en-IN"/>
              </w:rPr>
            </w:pPr>
            <w:r w:rsidRPr="00DF6F52">
              <w:rPr>
                <w:sz w:val="24"/>
                <w:szCs w:val="24"/>
                <w:lang w:eastAsia="en-IN"/>
              </w:rPr>
              <w:t xml:space="preserve">(Begg et al., 2023) </w:t>
            </w:r>
          </w:p>
        </w:tc>
      </w:tr>
      <w:tr w:rsidR="00F05C95" w:rsidRPr="00DF6F52" w14:paraId="23151780" w14:textId="77777777" w:rsidTr="00C63654">
        <w:trPr>
          <w:trHeight w:val="141"/>
        </w:trPr>
        <w:tc>
          <w:tcPr>
            <w:tcW w:w="0" w:type="auto"/>
            <w:hideMark/>
          </w:tcPr>
          <w:p w14:paraId="5394089F" w14:textId="77777777" w:rsidR="00F05C95" w:rsidRPr="00DF6F52" w:rsidRDefault="00F05C95" w:rsidP="00C63654">
            <w:pPr>
              <w:rPr>
                <w:sz w:val="24"/>
                <w:szCs w:val="24"/>
                <w:lang w:eastAsia="en-IN"/>
              </w:rPr>
            </w:pPr>
            <w:r w:rsidRPr="00DF6F52">
              <w:rPr>
                <w:b/>
                <w:bCs/>
                <w:sz w:val="24"/>
                <w:szCs w:val="24"/>
                <w:lang w:eastAsia="en-IN"/>
              </w:rPr>
              <w:t>Synthetic Prostaglandins</w:t>
            </w:r>
            <w:r w:rsidRPr="00DF6F52">
              <w:rPr>
                <w:sz w:val="24"/>
                <w:szCs w:val="24"/>
                <w:lang w:eastAsia="en-IN"/>
              </w:rPr>
              <w:t xml:space="preserve"> </w:t>
            </w:r>
            <w:r w:rsidRPr="00DF6F52">
              <w:rPr>
                <w:i/>
                <w:iCs/>
                <w:sz w:val="24"/>
                <w:szCs w:val="24"/>
                <w:lang w:eastAsia="en-IN"/>
              </w:rPr>
              <w:t>(Misoprostol)</w:t>
            </w:r>
          </w:p>
        </w:tc>
        <w:tc>
          <w:tcPr>
            <w:tcW w:w="0" w:type="auto"/>
            <w:hideMark/>
          </w:tcPr>
          <w:p w14:paraId="711B9B84" w14:textId="77777777" w:rsidR="00F05C95" w:rsidRPr="00DF6F52" w:rsidRDefault="00F05C95" w:rsidP="00C63654">
            <w:pPr>
              <w:rPr>
                <w:sz w:val="24"/>
                <w:szCs w:val="24"/>
                <w:lang w:eastAsia="en-IN"/>
              </w:rPr>
            </w:pPr>
            <w:r w:rsidRPr="00DF6F52">
              <w:rPr>
                <w:sz w:val="24"/>
                <w:szCs w:val="24"/>
                <w:lang w:eastAsia="en-IN"/>
              </w:rPr>
              <w:t>Prostaglandin E1 analog; boosts mucus and bicarbonate production.</w:t>
            </w:r>
          </w:p>
        </w:tc>
        <w:tc>
          <w:tcPr>
            <w:tcW w:w="0" w:type="auto"/>
            <w:hideMark/>
          </w:tcPr>
          <w:p w14:paraId="4B2A1C66" w14:textId="77777777" w:rsidR="00F05C95" w:rsidRPr="00DF6F52" w:rsidRDefault="00F05C95" w:rsidP="00C63654">
            <w:pPr>
              <w:rPr>
                <w:sz w:val="24"/>
                <w:szCs w:val="24"/>
                <w:lang w:eastAsia="en-IN"/>
              </w:rPr>
            </w:pPr>
            <w:r w:rsidRPr="00DF6F52">
              <w:rPr>
                <w:sz w:val="24"/>
                <w:szCs w:val="24"/>
                <w:lang w:eastAsia="en-IN"/>
              </w:rPr>
              <w:t>Gastrointestinal discomfort (diarrhea, stomach cramps); strictly contraindicated in pregnancy due to uterine contractions.</w:t>
            </w:r>
          </w:p>
        </w:tc>
        <w:tc>
          <w:tcPr>
            <w:tcW w:w="0" w:type="auto"/>
            <w:hideMark/>
          </w:tcPr>
          <w:p w14:paraId="2990623A" w14:textId="77777777" w:rsidR="00F05C95" w:rsidRPr="00DF6F52" w:rsidRDefault="00F05C95" w:rsidP="00C63654">
            <w:pPr>
              <w:rPr>
                <w:sz w:val="24"/>
                <w:szCs w:val="24"/>
                <w:lang w:eastAsia="en-IN"/>
              </w:rPr>
            </w:pPr>
            <w:r w:rsidRPr="00DF6F52">
              <w:rPr>
                <w:sz w:val="24"/>
                <w:szCs w:val="24"/>
                <w:lang w:eastAsia="en-IN"/>
              </w:rPr>
              <w:t xml:space="preserve">(Rostom, 2009) </w:t>
            </w:r>
          </w:p>
        </w:tc>
      </w:tr>
      <w:tr w:rsidR="00F05C95" w:rsidRPr="00DF6F52" w14:paraId="5B77281C" w14:textId="77777777" w:rsidTr="00C63654">
        <w:trPr>
          <w:trHeight w:val="1075"/>
        </w:trPr>
        <w:tc>
          <w:tcPr>
            <w:tcW w:w="0" w:type="auto"/>
            <w:hideMark/>
          </w:tcPr>
          <w:p w14:paraId="7B334776" w14:textId="77777777" w:rsidR="00F05C95" w:rsidRPr="00DF6F52" w:rsidRDefault="00F05C95" w:rsidP="00C63654">
            <w:pPr>
              <w:rPr>
                <w:sz w:val="24"/>
                <w:szCs w:val="24"/>
                <w:lang w:eastAsia="en-IN"/>
              </w:rPr>
            </w:pPr>
            <w:r w:rsidRPr="00DF6F52">
              <w:rPr>
                <w:b/>
                <w:bCs/>
                <w:sz w:val="24"/>
                <w:szCs w:val="24"/>
                <w:lang w:eastAsia="en-IN"/>
              </w:rPr>
              <w:t>Isolated Phytochemicals / Botanical Extracts</w:t>
            </w:r>
          </w:p>
        </w:tc>
        <w:tc>
          <w:tcPr>
            <w:tcW w:w="0" w:type="auto"/>
            <w:hideMark/>
          </w:tcPr>
          <w:p w14:paraId="79498262" w14:textId="77777777" w:rsidR="00F05C95" w:rsidRPr="00DF6F52" w:rsidRDefault="00F05C95" w:rsidP="00C63654">
            <w:pPr>
              <w:rPr>
                <w:sz w:val="24"/>
                <w:szCs w:val="24"/>
                <w:lang w:eastAsia="en-IN"/>
              </w:rPr>
            </w:pPr>
            <w:r w:rsidRPr="00DF6F52">
              <w:rPr>
                <w:sz w:val="24"/>
                <w:szCs w:val="24"/>
                <w:lang w:eastAsia="en-IN"/>
              </w:rPr>
              <w:t>Slower onset of action with effects accumulating over time; primarily enhance mucosal defense and antioxidant pathways rather than directly suppressing acid.</w:t>
            </w:r>
          </w:p>
        </w:tc>
        <w:tc>
          <w:tcPr>
            <w:tcW w:w="0" w:type="auto"/>
            <w:hideMark/>
          </w:tcPr>
          <w:p w14:paraId="141BE802" w14:textId="77777777" w:rsidR="00F05C95" w:rsidRPr="00DF6F52" w:rsidRDefault="00F05C95" w:rsidP="00C63654">
            <w:pPr>
              <w:rPr>
                <w:sz w:val="24"/>
                <w:szCs w:val="24"/>
                <w:lang w:eastAsia="en-IN"/>
              </w:rPr>
            </w:pPr>
            <w:r w:rsidRPr="00DF6F52">
              <w:rPr>
                <w:sz w:val="24"/>
                <w:szCs w:val="24"/>
                <w:lang w:eastAsia="en-IN"/>
              </w:rPr>
              <w:t>Generally well-tolerated with mild GI upset or allergic reactions; clinical utility limited by poor standardization and unknown bioavailability.</w:t>
            </w:r>
          </w:p>
        </w:tc>
        <w:tc>
          <w:tcPr>
            <w:tcW w:w="0" w:type="auto"/>
            <w:hideMark/>
          </w:tcPr>
          <w:p w14:paraId="0DA058B1" w14:textId="77777777" w:rsidR="00F05C95" w:rsidRPr="00DF6F52" w:rsidRDefault="00F05C95" w:rsidP="00C63654">
            <w:pPr>
              <w:rPr>
                <w:sz w:val="24"/>
                <w:szCs w:val="24"/>
                <w:lang w:val="fi-FI" w:eastAsia="en-IN"/>
              </w:rPr>
            </w:pPr>
            <w:r w:rsidRPr="00DF6F52">
              <w:rPr>
                <w:sz w:val="24"/>
                <w:szCs w:val="24"/>
                <w:lang w:val="fi-FI" w:eastAsia="en-IN"/>
              </w:rPr>
              <w:t xml:space="preserve">(Kuna et al., 2019; Prayoga et al., 2024) </w:t>
            </w:r>
          </w:p>
        </w:tc>
      </w:tr>
    </w:tbl>
    <w:p w14:paraId="054AA1A7" w14:textId="77777777" w:rsidR="00F05C95" w:rsidRPr="00DF6F52" w:rsidRDefault="00F05C95" w:rsidP="00DF6F52">
      <w:pPr>
        <w:rPr>
          <w:rFonts w:ascii="Times New Roman" w:hAnsi="Times New Roman" w:cs="Times New Roman"/>
          <w:b/>
          <w:bCs/>
          <w:color w:val="212529"/>
          <w:sz w:val="24"/>
          <w:szCs w:val="24"/>
          <w:shd w:val="clear" w:color="auto" w:fill="FFFFFF"/>
          <w:lang w:val="fi-FI"/>
        </w:rPr>
      </w:pPr>
    </w:p>
    <w:p w14:paraId="703E5007" w14:textId="77777777" w:rsidR="00C63654" w:rsidRDefault="00C63654" w:rsidP="00DF6F52">
      <w:pPr>
        <w:rPr>
          <w:rFonts w:ascii="Times New Roman" w:hAnsi="Times New Roman" w:cs="Times New Roman"/>
          <w:sz w:val="28"/>
          <w:szCs w:val="28"/>
        </w:rPr>
        <w:sectPr w:rsidR="00C63654" w:rsidSect="000C1C95">
          <w:pgSz w:w="15840" w:h="12240" w:orient="landscape"/>
          <w:pgMar w:top="1440" w:right="862" w:bottom="1259" w:left="992" w:header="357" w:footer="720" w:gutter="0"/>
          <w:cols w:space="720"/>
          <w:docGrid w:linePitch="360"/>
        </w:sectPr>
      </w:pPr>
    </w:p>
    <w:p w14:paraId="1B28313A" w14:textId="2566A835" w:rsidR="00F05C95" w:rsidRPr="008D5681" w:rsidRDefault="008D5681" w:rsidP="00DF6F52">
      <w:pPr>
        <w:rPr>
          <w:rFonts w:ascii="Times New Roman" w:hAnsi="Times New Roman" w:cs="Times New Roman"/>
          <w:color w:val="212529"/>
          <w:sz w:val="28"/>
          <w:szCs w:val="28"/>
          <w:shd w:val="clear" w:color="auto" w:fill="FFFFFF"/>
        </w:rPr>
      </w:pPr>
      <w:r w:rsidRPr="008D5681">
        <w:rPr>
          <w:rFonts w:ascii="Times New Roman" w:hAnsi="Times New Roman" w:cs="Times New Roman"/>
          <w:sz w:val="28"/>
          <w:szCs w:val="28"/>
        </w:rPr>
        <w:lastRenderedPageBreak/>
        <w:t>CONCLUSION AND FUTURE PERSPECTIVES</w:t>
      </w:r>
    </w:p>
    <w:p w14:paraId="6FF54254" w14:textId="77777777" w:rsidR="00F05C95" w:rsidRPr="00DF6F52" w:rsidRDefault="00F05C95" w:rsidP="00DF6F52">
      <w:pPr>
        <w:rPr>
          <w:rFonts w:ascii="Times New Roman" w:hAnsi="Times New Roman" w:cs="Times New Roman"/>
          <w:sz w:val="24"/>
          <w:szCs w:val="24"/>
        </w:rPr>
      </w:pPr>
      <w:r w:rsidRPr="00DF6F52">
        <w:rPr>
          <w:rFonts w:ascii="Times New Roman" w:hAnsi="Times New Roman" w:cs="Times New Roman"/>
          <w:sz w:val="24"/>
          <w:szCs w:val="24"/>
        </w:rPr>
        <w:t xml:space="preserve">The therapeutic landscape of peptic ulcer disease is at a critical inflection point. While the profound acid-suppressing capabilities of proton pump inhibitors and targeted </w:t>
      </w:r>
      <w:r w:rsidRPr="00DF6F52">
        <w:rPr>
          <w:rFonts w:ascii="Times New Roman" w:hAnsi="Times New Roman" w:cs="Times New Roman"/>
          <w:i/>
          <w:iCs/>
          <w:sz w:val="24"/>
          <w:szCs w:val="24"/>
        </w:rPr>
        <w:t xml:space="preserve">H. pylori </w:t>
      </w:r>
      <w:r w:rsidRPr="00DF6F52">
        <w:rPr>
          <w:rFonts w:ascii="Times New Roman" w:hAnsi="Times New Roman" w:cs="Times New Roman"/>
          <w:sz w:val="24"/>
          <w:szCs w:val="24"/>
        </w:rPr>
        <w:t>eradication regimens remain the clinical gold standard, their long-term pharmacokinetic liabilities and the escalating threat of antibiotic resistance necessitate a paradigm shift. Phytotherapeutics offer a mechanistically distinct approach, pivoting away from absolute acid suppression toward the restoration of mucosal integrity via antioxidant pathways, prostaglandin E2 upregulation, and precise endocrine modulation. However, for botanical agents to transition from ethnomedical curiosities to rigorously validated clinical therapeutics, the scientific community must move beyond evaluating crude extracts in acute animal models. Future research must prioritize the isolation of active phytoconstituents and the application of novel drug delivery systems (NDDS), such as nanocarriers, phytosomes, or liposomes, to circumvent their inherent biopharmaceutical limitations particularly poor systemic bioavailability and rapid presystemic metabolism. Furthermore, as the concurrent use of synthetic antisecretory drugs and herbal supplements rises, robust pharmacokinetic profiling to identify potential CYP450-mediated herb-drug interactions is clinically imperative. Ultimately, a synergistic, evidence-based integration of standardized, isolated phytoconstituents with conventional pharmacotherapy governed by strict regulatory and biopharmaceutical frameworks holds the most promise for the sustainable, long-term management of peptic ulcer disease.</w:t>
      </w:r>
    </w:p>
    <w:p w14:paraId="2EFE7C90" w14:textId="600F2312" w:rsidR="00F05C95" w:rsidRPr="008D5681" w:rsidRDefault="008D5681" w:rsidP="00DF6F52">
      <w:pPr>
        <w:rPr>
          <w:rFonts w:ascii="Times New Roman" w:hAnsi="Times New Roman" w:cs="Times New Roman"/>
          <w:sz w:val="28"/>
          <w:szCs w:val="28"/>
        </w:rPr>
      </w:pPr>
      <w:r w:rsidRPr="008D5681">
        <w:rPr>
          <w:rFonts w:ascii="Times New Roman" w:hAnsi="Times New Roman" w:cs="Times New Roman"/>
          <w:sz w:val="28"/>
          <w:szCs w:val="28"/>
        </w:rPr>
        <w:t>REFERENCES</w:t>
      </w:r>
    </w:p>
    <w:p w14:paraId="73FD7774"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bookmarkStart w:id="0" w:name="ZOTERO_BREF_i5EVlsC8nuDK"/>
      <w:r w:rsidRPr="001B4544">
        <w:rPr>
          <w:rFonts w:ascii="Times New Roman" w:eastAsia="Times New Roman" w:hAnsi="Times New Roman" w:cs="Times New Roman"/>
          <w:sz w:val="24"/>
          <w:szCs w:val="24"/>
          <w:lang w:eastAsia="en-IN"/>
        </w:rPr>
        <w:t xml:space="preserve">Kuna, L., Jakab, J., Smolic, R., Raguz-Lucic, N., Vcev, A., &amp; Smolic, M. (2019). Peptic ulcer disease: A brief review of conventional therapy and herbal treatment options. </w:t>
      </w:r>
      <w:r w:rsidRPr="001B4544">
        <w:rPr>
          <w:rFonts w:ascii="Times New Roman" w:eastAsia="Times New Roman" w:hAnsi="Times New Roman" w:cs="Times New Roman"/>
          <w:i/>
          <w:iCs/>
          <w:sz w:val="24"/>
          <w:szCs w:val="24"/>
          <w:lang w:eastAsia="en-IN"/>
        </w:rPr>
        <w:t>Journal of Clinical Medicine, 8</w:t>
      </w:r>
      <w:r w:rsidRPr="001B4544">
        <w:rPr>
          <w:rFonts w:ascii="Times New Roman" w:eastAsia="Times New Roman" w:hAnsi="Times New Roman" w:cs="Times New Roman"/>
          <w:sz w:val="24"/>
          <w:szCs w:val="24"/>
          <w:lang w:eastAsia="en-IN"/>
        </w:rPr>
        <w:t>(2), 179.</w:t>
      </w:r>
    </w:p>
    <w:p w14:paraId="5DDC807E"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Lanas, A., &amp; Chan, F. K. L. (2017). Peptic ulcer disease. </w:t>
      </w:r>
      <w:r w:rsidRPr="001B4544">
        <w:rPr>
          <w:rFonts w:ascii="Times New Roman" w:eastAsia="Times New Roman" w:hAnsi="Times New Roman" w:cs="Times New Roman"/>
          <w:i/>
          <w:iCs/>
          <w:sz w:val="24"/>
          <w:szCs w:val="24"/>
          <w:lang w:eastAsia="en-IN"/>
        </w:rPr>
        <w:t>The Lancet, 390</w:t>
      </w:r>
      <w:r w:rsidRPr="001B4544">
        <w:rPr>
          <w:rFonts w:ascii="Times New Roman" w:eastAsia="Times New Roman" w:hAnsi="Times New Roman" w:cs="Times New Roman"/>
          <w:sz w:val="24"/>
          <w:szCs w:val="24"/>
          <w:lang w:eastAsia="en-IN"/>
        </w:rPr>
        <w:t>(10094), 613–624.</w:t>
      </w:r>
    </w:p>
    <w:p w14:paraId="6F3A5C94"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Lanas, A., García-Rodríguez, L. A., Polo-Tomás, M., Ponce, M., Quintero, E., Perez-Aisa, M. A., et al. (2011). The changing face of hospitalisation due to gastrointestinal bleeding and perforation. </w:t>
      </w:r>
      <w:r w:rsidRPr="001B4544">
        <w:rPr>
          <w:rFonts w:ascii="Times New Roman" w:eastAsia="Times New Roman" w:hAnsi="Times New Roman" w:cs="Times New Roman"/>
          <w:i/>
          <w:iCs/>
          <w:sz w:val="24"/>
          <w:szCs w:val="24"/>
          <w:lang w:eastAsia="en-IN"/>
        </w:rPr>
        <w:t>Alimentary Pharmacology &amp; Therapeutics, 33</w:t>
      </w:r>
      <w:r w:rsidRPr="001B4544">
        <w:rPr>
          <w:rFonts w:ascii="Times New Roman" w:eastAsia="Times New Roman" w:hAnsi="Times New Roman" w:cs="Times New Roman"/>
          <w:sz w:val="24"/>
          <w:szCs w:val="24"/>
          <w:lang w:eastAsia="en-IN"/>
        </w:rPr>
        <w:t>(5), 585–591.</w:t>
      </w:r>
    </w:p>
    <w:p w14:paraId="2CFE8ECE"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Søreide, K., Thorsen, K., Harrison, E. M., Bingener, J., Møller, M. H., Ohene-Yeboah, M., et al. (2015). Perforated peptic ulcer. </w:t>
      </w:r>
      <w:r w:rsidRPr="001B4544">
        <w:rPr>
          <w:rFonts w:ascii="Times New Roman" w:eastAsia="Times New Roman" w:hAnsi="Times New Roman" w:cs="Times New Roman"/>
          <w:i/>
          <w:iCs/>
          <w:sz w:val="24"/>
          <w:szCs w:val="24"/>
          <w:lang w:eastAsia="en-IN"/>
        </w:rPr>
        <w:t>The Lancet, 386</w:t>
      </w:r>
      <w:r w:rsidRPr="001B4544">
        <w:rPr>
          <w:rFonts w:ascii="Times New Roman" w:eastAsia="Times New Roman" w:hAnsi="Times New Roman" w:cs="Times New Roman"/>
          <w:sz w:val="24"/>
          <w:szCs w:val="24"/>
          <w:lang w:eastAsia="en-IN"/>
        </w:rPr>
        <w:t>(10000), 1288–1298.</w:t>
      </w:r>
    </w:p>
    <w:p w14:paraId="3CB9442F"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Zhang, B. B., Li, Y., Liu, X. Q., Wang, P. J., Yang, B., &amp; Bian, D. L. (2014). Association between vacA genotypes and the risk of duodenal ulcer: A meta-analysis. </w:t>
      </w:r>
      <w:r w:rsidRPr="001B4544">
        <w:rPr>
          <w:rFonts w:ascii="Times New Roman" w:eastAsia="Times New Roman" w:hAnsi="Times New Roman" w:cs="Times New Roman"/>
          <w:i/>
          <w:iCs/>
          <w:sz w:val="24"/>
          <w:szCs w:val="24"/>
          <w:lang w:eastAsia="en-IN"/>
        </w:rPr>
        <w:t>Molecular Biology Reports, 41</w:t>
      </w:r>
      <w:r w:rsidRPr="001B4544">
        <w:rPr>
          <w:rFonts w:ascii="Times New Roman" w:eastAsia="Times New Roman" w:hAnsi="Times New Roman" w:cs="Times New Roman"/>
          <w:sz w:val="24"/>
          <w:szCs w:val="24"/>
          <w:lang w:eastAsia="en-IN"/>
        </w:rPr>
        <w:t>(11), 7241–7254.</w:t>
      </w:r>
    </w:p>
    <w:p w14:paraId="2A79A6A0"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lastRenderedPageBreak/>
        <w:t xml:space="preserve">Datta De, D. (2015). To be or not to be: The host genetic factor and beyond in Helicobacter pylori mediated gastro-duodenal diseases. </w:t>
      </w:r>
      <w:r w:rsidRPr="001B4544">
        <w:rPr>
          <w:rFonts w:ascii="Times New Roman" w:eastAsia="Times New Roman" w:hAnsi="Times New Roman" w:cs="Times New Roman"/>
          <w:i/>
          <w:iCs/>
          <w:sz w:val="24"/>
          <w:szCs w:val="24"/>
          <w:lang w:eastAsia="en-IN"/>
        </w:rPr>
        <w:t>World Journal of Gastroenterology, 21</w:t>
      </w:r>
      <w:r w:rsidRPr="001B4544">
        <w:rPr>
          <w:rFonts w:ascii="Times New Roman" w:eastAsia="Times New Roman" w:hAnsi="Times New Roman" w:cs="Times New Roman"/>
          <w:sz w:val="24"/>
          <w:szCs w:val="24"/>
          <w:lang w:eastAsia="en-IN"/>
        </w:rPr>
        <w:t>(10), 2883.</w:t>
      </w:r>
    </w:p>
    <w:p w14:paraId="17FA2304"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Lanas, Á., Carrera-Lasfuentes, P., Arguedas, Y., García, S., Bujanda, L., Calvet, X., et al. (2015). Risk of upper and lower gastrointestinal bleeding in patients taking nonsteroidal anti-inflammatory drugs, antiplatelet agents, or anticoagulants. </w:t>
      </w:r>
      <w:r w:rsidRPr="001B4544">
        <w:rPr>
          <w:rFonts w:ascii="Times New Roman" w:eastAsia="Times New Roman" w:hAnsi="Times New Roman" w:cs="Times New Roman"/>
          <w:i/>
          <w:iCs/>
          <w:sz w:val="24"/>
          <w:szCs w:val="24"/>
          <w:lang w:eastAsia="en-IN"/>
        </w:rPr>
        <w:t>Clinical Gastroenterology and Hepatology, 13</w:t>
      </w:r>
      <w:r w:rsidRPr="001B4544">
        <w:rPr>
          <w:rFonts w:ascii="Times New Roman" w:eastAsia="Times New Roman" w:hAnsi="Times New Roman" w:cs="Times New Roman"/>
          <w:sz w:val="24"/>
          <w:szCs w:val="24"/>
          <w:lang w:eastAsia="en-IN"/>
        </w:rPr>
        <w:t>(5), 906-912.e2.</w:t>
      </w:r>
    </w:p>
    <w:p w14:paraId="721E1097"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McColl, K. E. L. (2009). Helicobacter pylori-negative nonsteroidal anti-inflammatory drug-negative ulcer. </w:t>
      </w:r>
      <w:r w:rsidRPr="001B4544">
        <w:rPr>
          <w:rFonts w:ascii="Times New Roman" w:eastAsia="Times New Roman" w:hAnsi="Times New Roman" w:cs="Times New Roman"/>
          <w:i/>
          <w:iCs/>
          <w:sz w:val="24"/>
          <w:szCs w:val="24"/>
          <w:lang w:eastAsia="en-IN"/>
        </w:rPr>
        <w:t>Gastroenterology Clinics of North America, 38</w:t>
      </w:r>
      <w:r w:rsidRPr="001B4544">
        <w:rPr>
          <w:rFonts w:ascii="Times New Roman" w:eastAsia="Times New Roman" w:hAnsi="Times New Roman" w:cs="Times New Roman"/>
          <w:sz w:val="24"/>
          <w:szCs w:val="24"/>
          <w:lang w:eastAsia="en-IN"/>
        </w:rPr>
        <w:t>(2), 353–361.</w:t>
      </w:r>
    </w:p>
    <w:p w14:paraId="066F5D48"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val="fi-FI" w:eastAsia="en-IN"/>
        </w:rPr>
        <w:t xml:space="preserve">Choi, W., Choi, C. H., Kim, Y. R., Kim, S. J., Na, C. S., &amp; Lee, H. (2016). </w:t>
      </w:r>
      <w:r w:rsidRPr="001B4544">
        <w:rPr>
          <w:rFonts w:ascii="Times New Roman" w:eastAsia="Times New Roman" w:hAnsi="Times New Roman" w:cs="Times New Roman"/>
          <w:sz w:val="24"/>
          <w:szCs w:val="24"/>
          <w:lang w:eastAsia="en-IN"/>
        </w:rPr>
        <w:t xml:space="preserve">HerDing: Herb recommendation system to treat diseases using genes and chemicals. </w:t>
      </w:r>
      <w:r w:rsidRPr="001B4544">
        <w:rPr>
          <w:rFonts w:ascii="Times New Roman" w:eastAsia="Times New Roman" w:hAnsi="Times New Roman" w:cs="Times New Roman"/>
          <w:i/>
          <w:iCs/>
          <w:sz w:val="24"/>
          <w:szCs w:val="24"/>
          <w:lang w:eastAsia="en-IN"/>
        </w:rPr>
        <w:t>Database, 2016</w:t>
      </w:r>
      <w:r w:rsidRPr="001B4544">
        <w:rPr>
          <w:rFonts w:ascii="Times New Roman" w:eastAsia="Times New Roman" w:hAnsi="Times New Roman" w:cs="Times New Roman"/>
          <w:sz w:val="24"/>
          <w:szCs w:val="24"/>
          <w:lang w:eastAsia="en-IN"/>
        </w:rPr>
        <w:t>, baw011.</w:t>
      </w:r>
    </w:p>
    <w:p w14:paraId="795A4056"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val="sv-SE" w:eastAsia="en-IN"/>
        </w:rPr>
        <w:t xml:space="preserve">Doll, R., Friendlander, P., &amp; Pygott, F. (1956). </w:t>
      </w:r>
      <w:r w:rsidRPr="001B4544">
        <w:rPr>
          <w:rFonts w:ascii="Times New Roman" w:eastAsia="Times New Roman" w:hAnsi="Times New Roman" w:cs="Times New Roman"/>
          <w:sz w:val="24"/>
          <w:szCs w:val="24"/>
          <w:lang w:eastAsia="en-IN"/>
        </w:rPr>
        <w:t xml:space="preserve">Dietetic treatment of peptic ulcer. </w:t>
      </w:r>
      <w:r w:rsidRPr="001B4544">
        <w:rPr>
          <w:rFonts w:ascii="Times New Roman" w:eastAsia="Times New Roman" w:hAnsi="Times New Roman" w:cs="Times New Roman"/>
          <w:i/>
          <w:iCs/>
          <w:sz w:val="24"/>
          <w:szCs w:val="24"/>
          <w:lang w:eastAsia="en-IN"/>
        </w:rPr>
        <w:t>The Lancet, 267</w:t>
      </w:r>
      <w:r w:rsidRPr="001B4544">
        <w:rPr>
          <w:rFonts w:ascii="Times New Roman" w:eastAsia="Times New Roman" w:hAnsi="Times New Roman" w:cs="Times New Roman"/>
          <w:sz w:val="24"/>
          <w:szCs w:val="24"/>
          <w:lang w:eastAsia="en-IN"/>
        </w:rPr>
        <w:t>(6906), 5–9.</w:t>
      </w:r>
    </w:p>
    <w:p w14:paraId="16631164"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Farley, A., Wruble, L. D., &amp; Humphries, T. J. (2000). Rabeprazole versus ranitidine for the treatment of erosive gastroesophageal reflux disease: A double-blind, randomized clinical trial. </w:t>
      </w:r>
      <w:r w:rsidRPr="001B4544">
        <w:rPr>
          <w:rFonts w:ascii="Times New Roman" w:eastAsia="Times New Roman" w:hAnsi="Times New Roman" w:cs="Times New Roman"/>
          <w:i/>
          <w:iCs/>
          <w:sz w:val="24"/>
          <w:szCs w:val="24"/>
          <w:lang w:eastAsia="en-IN"/>
        </w:rPr>
        <w:t>The American Journal of Gastroenterology, 95</w:t>
      </w:r>
      <w:r w:rsidRPr="001B4544">
        <w:rPr>
          <w:rFonts w:ascii="Times New Roman" w:eastAsia="Times New Roman" w:hAnsi="Times New Roman" w:cs="Times New Roman"/>
          <w:sz w:val="24"/>
          <w:szCs w:val="24"/>
          <w:lang w:eastAsia="en-IN"/>
        </w:rPr>
        <w:t>(8), 1894–1899.</w:t>
      </w:r>
    </w:p>
    <w:p w14:paraId="719EDD67"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Shi, S., &amp; Klotz, U. (2008). Proton pump inhibitors: An update of their clinical use and pharmacokinetics. </w:t>
      </w:r>
      <w:r w:rsidRPr="001B4544">
        <w:rPr>
          <w:rFonts w:ascii="Times New Roman" w:eastAsia="Times New Roman" w:hAnsi="Times New Roman" w:cs="Times New Roman"/>
          <w:i/>
          <w:iCs/>
          <w:sz w:val="24"/>
          <w:szCs w:val="24"/>
          <w:lang w:eastAsia="en-IN"/>
        </w:rPr>
        <w:t>European Journal of Clinical Pharmacology, 64</w:t>
      </w:r>
      <w:r w:rsidRPr="001B4544">
        <w:rPr>
          <w:rFonts w:ascii="Times New Roman" w:eastAsia="Times New Roman" w:hAnsi="Times New Roman" w:cs="Times New Roman"/>
          <w:sz w:val="24"/>
          <w:szCs w:val="24"/>
          <w:lang w:eastAsia="en-IN"/>
        </w:rPr>
        <w:t>(10), 935–951.</w:t>
      </w:r>
    </w:p>
    <w:p w14:paraId="76A09B78"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Siddique, O., Ovalle, A., Siddique, A. S., &amp; Moss, S. F. (2018). Helicobacter pylori infection: An update for the internist in the age of increasing global antibiotic resistance. </w:t>
      </w:r>
      <w:r w:rsidRPr="001B4544">
        <w:rPr>
          <w:rFonts w:ascii="Times New Roman" w:eastAsia="Times New Roman" w:hAnsi="Times New Roman" w:cs="Times New Roman"/>
          <w:i/>
          <w:iCs/>
          <w:sz w:val="24"/>
          <w:szCs w:val="24"/>
          <w:lang w:eastAsia="en-IN"/>
        </w:rPr>
        <w:t>The American Journal of Medicine, 131</w:t>
      </w:r>
      <w:r w:rsidRPr="001B4544">
        <w:rPr>
          <w:rFonts w:ascii="Times New Roman" w:eastAsia="Times New Roman" w:hAnsi="Times New Roman" w:cs="Times New Roman"/>
          <w:sz w:val="24"/>
          <w:szCs w:val="24"/>
          <w:lang w:eastAsia="en-IN"/>
        </w:rPr>
        <w:t>(5), 473–479.</w:t>
      </w:r>
    </w:p>
    <w:p w14:paraId="0A794FE5"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Hooi, J. K. Y., Lai, W. Y., Ng, W. K., Suen, M. M. Y., Underwood, F. E., Tanyingoh, D., et al. (2017). Global prevalence of Helicobacter pylori infection: Systematic review and meta-analysis. </w:t>
      </w:r>
      <w:r w:rsidRPr="001B4544">
        <w:rPr>
          <w:rFonts w:ascii="Times New Roman" w:eastAsia="Times New Roman" w:hAnsi="Times New Roman" w:cs="Times New Roman"/>
          <w:i/>
          <w:iCs/>
          <w:sz w:val="24"/>
          <w:szCs w:val="24"/>
          <w:lang w:eastAsia="en-IN"/>
        </w:rPr>
        <w:t>Gastroenterology, 153</w:t>
      </w:r>
      <w:r w:rsidRPr="001B4544">
        <w:rPr>
          <w:rFonts w:ascii="Times New Roman" w:eastAsia="Times New Roman" w:hAnsi="Times New Roman" w:cs="Times New Roman"/>
          <w:sz w:val="24"/>
          <w:szCs w:val="24"/>
          <w:lang w:eastAsia="en-IN"/>
        </w:rPr>
        <w:t>(2), 420–429.</w:t>
      </w:r>
    </w:p>
    <w:p w14:paraId="6AFABD0F"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Zaki, M., Coudron, P. E., McCuen, R. W., Harrington, L., Chu, S., &amp; Schubert, M. L. (2013). H. pylori acutely inhibits gastric secretion by activating CGRP sensory neurons coupled to stimulation of somatostatin and inhibition of histamine secretion. </w:t>
      </w:r>
      <w:r w:rsidRPr="001B4544">
        <w:rPr>
          <w:rFonts w:ascii="Times New Roman" w:eastAsia="Times New Roman" w:hAnsi="Times New Roman" w:cs="Times New Roman"/>
          <w:i/>
          <w:iCs/>
          <w:sz w:val="24"/>
          <w:szCs w:val="24"/>
          <w:lang w:eastAsia="en-IN"/>
        </w:rPr>
        <w:t>American Journal of Physiology-Gastrointestinal and Liver Physiology, 304</w:t>
      </w:r>
      <w:r w:rsidRPr="001B4544">
        <w:rPr>
          <w:rFonts w:ascii="Times New Roman" w:eastAsia="Times New Roman" w:hAnsi="Times New Roman" w:cs="Times New Roman"/>
          <w:sz w:val="24"/>
          <w:szCs w:val="24"/>
          <w:lang w:eastAsia="en-IN"/>
        </w:rPr>
        <w:t>(8), G715–G722.</w:t>
      </w:r>
    </w:p>
    <w:p w14:paraId="3033E37C"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Moss, S. F., Calam, J., Legon, S., Bishop, A. E., &amp; Polak, J. M. (1992). Effect of Helicobacter pylori on gastric somatostatin in duodenal ulcer disease. </w:t>
      </w:r>
      <w:r w:rsidRPr="001B4544">
        <w:rPr>
          <w:rFonts w:ascii="Times New Roman" w:eastAsia="Times New Roman" w:hAnsi="Times New Roman" w:cs="Times New Roman"/>
          <w:i/>
          <w:iCs/>
          <w:sz w:val="24"/>
          <w:szCs w:val="24"/>
          <w:lang w:eastAsia="en-IN"/>
        </w:rPr>
        <w:t>The Lancet, 340</w:t>
      </w:r>
      <w:r w:rsidRPr="001B4544">
        <w:rPr>
          <w:rFonts w:ascii="Times New Roman" w:eastAsia="Times New Roman" w:hAnsi="Times New Roman" w:cs="Times New Roman"/>
          <w:sz w:val="24"/>
          <w:szCs w:val="24"/>
          <w:lang w:eastAsia="en-IN"/>
        </w:rPr>
        <w:t>(8825), 930–932.</w:t>
      </w:r>
    </w:p>
    <w:p w14:paraId="51AAC96A"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lastRenderedPageBreak/>
        <w:t xml:space="preserve">Vascular and upper gastrointestinal effects of non-steroidal anti-inflammatory drugs: Meta-analyses of individual participant data from randomised trials. (2013). </w:t>
      </w:r>
      <w:r w:rsidRPr="001B4544">
        <w:rPr>
          <w:rFonts w:ascii="Times New Roman" w:eastAsia="Times New Roman" w:hAnsi="Times New Roman" w:cs="Times New Roman"/>
          <w:i/>
          <w:iCs/>
          <w:sz w:val="24"/>
          <w:szCs w:val="24"/>
          <w:lang w:eastAsia="en-IN"/>
        </w:rPr>
        <w:t>The Lancet, 382</w:t>
      </w:r>
      <w:r w:rsidRPr="001B4544">
        <w:rPr>
          <w:rFonts w:ascii="Times New Roman" w:eastAsia="Times New Roman" w:hAnsi="Times New Roman" w:cs="Times New Roman"/>
          <w:sz w:val="24"/>
          <w:szCs w:val="24"/>
          <w:lang w:eastAsia="en-IN"/>
        </w:rPr>
        <w:t>(9894), 769–779.</w:t>
      </w:r>
    </w:p>
    <w:p w14:paraId="1FFDB848"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Bjarnason, I., Scarpignato, C., Takeuchi, K., &amp; Rainsford, K. D. (2007). Determinants of the short-term gastric damage caused by NSAIDs in man. </w:t>
      </w:r>
      <w:r w:rsidRPr="001B4544">
        <w:rPr>
          <w:rFonts w:ascii="Times New Roman" w:eastAsia="Times New Roman" w:hAnsi="Times New Roman" w:cs="Times New Roman"/>
          <w:i/>
          <w:iCs/>
          <w:sz w:val="24"/>
          <w:szCs w:val="24"/>
          <w:lang w:eastAsia="en-IN"/>
        </w:rPr>
        <w:t>Alimentary Pharmacology &amp; Therapeutics, 26</w:t>
      </w:r>
      <w:r w:rsidRPr="001B4544">
        <w:rPr>
          <w:rFonts w:ascii="Times New Roman" w:eastAsia="Times New Roman" w:hAnsi="Times New Roman" w:cs="Times New Roman"/>
          <w:sz w:val="24"/>
          <w:szCs w:val="24"/>
          <w:lang w:eastAsia="en-IN"/>
        </w:rPr>
        <w:t>(1), 95–106.</w:t>
      </w:r>
    </w:p>
    <w:p w14:paraId="639374A7"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Narayanan, M., Reddy, K. M., &amp; Marsicano, E. (2018). Peptic ulcer disease and Helicobacter pylori infection. </w:t>
      </w:r>
      <w:r w:rsidRPr="001B4544">
        <w:rPr>
          <w:rFonts w:ascii="Times New Roman" w:eastAsia="Times New Roman" w:hAnsi="Times New Roman" w:cs="Times New Roman"/>
          <w:i/>
          <w:iCs/>
          <w:sz w:val="24"/>
          <w:szCs w:val="24"/>
          <w:lang w:eastAsia="en-IN"/>
        </w:rPr>
        <w:t>Missouri Medicine, 115</w:t>
      </w:r>
      <w:r w:rsidRPr="001B4544">
        <w:rPr>
          <w:rFonts w:ascii="Times New Roman" w:eastAsia="Times New Roman" w:hAnsi="Times New Roman" w:cs="Times New Roman"/>
          <w:sz w:val="24"/>
          <w:szCs w:val="24"/>
          <w:lang w:eastAsia="en-IN"/>
        </w:rPr>
        <w:t>(3), 219–224.</w:t>
      </w:r>
    </w:p>
    <w:p w14:paraId="2AEF03FC"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Siddique, O., Ovalle, A., Siddique, A. S., &amp; Moss, S. F. (2018). Helicobacter pylori infection: An update for the internist in the age of increasing global antibiotic resistance. </w:t>
      </w:r>
      <w:r w:rsidRPr="001B4544">
        <w:rPr>
          <w:rFonts w:ascii="Times New Roman" w:eastAsia="Times New Roman" w:hAnsi="Times New Roman" w:cs="Times New Roman"/>
          <w:i/>
          <w:iCs/>
          <w:sz w:val="24"/>
          <w:szCs w:val="24"/>
          <w:lang w:eastAsia="en-IN"/>
        </w:rPr>
        <w:t>The American Journal of Medicine, 131</w:t>
      </w:r>
      <w:r w:rsidRPr="001B4544">
        <w:rPr>
          <w:rFonts w:ascii="Times New Roman" w:eastAsia="Times New Roman" w:hAnsi="Times New Roman" w:cs="Times New Roman"/>
          <w:sz w:val="24"/>
          <w:szCs w:val="24"/>
          <w:lang w:eastAsia="en-IN"/>
        </w:rPr>
        <w:t>(5), 473–479.</w:t>
      </w:r>
    </w:p>
    <w:p w14:paraId="2E78A1CE"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Malfertheiner, P., Megraud, F., O’Morain, C. A., Gisbert, J. P., Kuipers, E. J., Axon, A. T., et al. (2017). Management of Helicobacter pylori infection—the Maastricht V/Florence consensus report. </w:t>
      </w:r>
      <w:r w:rsidRPr="001B4544">
        <w:rPr>
          <w:rFonts w:ascii="Times New Roman" w:eastAsia="Times New Roman" w:hAnsi="Times New Roman" w:cs="Times New Roman"/>
          <w:i/>
          <w:iCs/>
          <w:sz w:val="24"/>
          <w:szCs w:val="24"/>
          <w:lang w:eastAsia="en-IN"/>
        </w:rPr>
        <w:t>Gut, 66</w:t>
      </w:r>
      <w:r w:rsidRPr="001B4544">
        <w:rPr>
          <w:rFonts w:ascii="Times New Roman" w:eastAsia="Times New Roman" w:hAnsi="Times New Roman" w:cs="Times New Roman"/>
          <w:sz w:val="24"/>
          <w:szCs w:val="24"/>
          <w:lang w:eastAsia="en-IN"/>
        </w:rPr>
        <w:t>(1), 6–30.</w:t>
      </w:r>
    </w:p>
    <w:p w14:paraId="64E42BB5"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val="de-DE" w:eastAsia="en-IN"/>
        </w:rPr>
        <w:t xml:space="preserve">Fallone, C. A., Chiba, N., Van Zanten, S. V., Fischbach, L., Gisbert, J. P., Hunt, R. H., et al. </w:t>
      </w:r>
      <w:r w:rsidRPr="001B4544">
        <w:rPr>
          <w:rFonts w:ascii="Times New Roman" w:eastAsia="Times New Roman" w:hAnsi="Times New Roman" w:cs="Times New Roman"/>
          <w:sz w:val="24"/>
          <w:szCs w:val="24"/>
          <w:lang w:eastAsia="en-IN"/>
        </w:rPr>
        <w:t xml:space="preserve">(2016). The Toronto consensus for the treatment of Helicobacter pylori infection in adults. </w:t>
      </w:r>
      <w:r w:rsidRPr="001B4544">
        <w:rPr>
          <w:rFonts w:ascii="Times New Roman" w:eastAsia="Times New Roman" w:hAnsi="Times New Roman" w:cs="Times New Roman"/>
          <w:i/>
          <w:iCs/>
          <w:sz w:val="24"/>
          <w:szCs w:val="24"/>
          <w:lang w:eastAsia="en-IN"/>
        </w:rPr>
        <w:t>Gastroenterology, 151</w:t>
      </w:r>
      <w:r w:rsidRPr="001B4544">
        <w:rPr>
          <w:rFonts w:ascii="Times New Roman" w:eastAsia="Times New Roman" w:hAnsi="Times New Roman" w:cs="Times New Roman"/>
          <w:sz w:val="24"/>
          <w:szCs w:val="24"/>
          <w:lang w:eastAsia="en-IN"/>
        </w:rPr>
        <w:t>(1), 51-69.e14.</w:t>
      </w:r>
    </w:p>
    <w:p w14:paraId="206DB0B9"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val="de-DE" w:eastAsia="en-IN"/>
        </w:rPr>
        <w:t xml:space="preserve">Dore, M. P., Lu, H., &amp; Graham, D. Y. (2016). </w:t>
      </w:r>
      <w:r w:rsidRPr="001B4544">
        <w:rPr>
          <w:rFonts w:ascii="Times New Roman" w:eastAsia="Times New Roman" w:hAnsi="Times New Roman" w:cs="Times New Roman"/>
          <w:sz w:val="24"/>
          <w:szCs w:val="24"/>
          <w:lang w:eastAsia="en-IN"/>
        </w:rPr>
        <w:t xml:space="preserve">Role of bismuth in improving Helicobacter pylori eradication with triple therapy. </w:t>
      </w:r>
      <w:r w:rsidRPr="001B4544">
        <w:rPr>
          <w:rFonts w:ascii="Times New Roman" w:eastAsia="Times New Roman" w:hAnsi="Times New Roman" w:cs="Times New Roman"/>
          <w:i/>
          <w:iCs/>
          <w:sz w:val="24"/>
          <w:szCs w:val="24"/>
          <w:lang w:eastAsia="en-IN"/>
        </w:rPr>
        <w:t>Gut, 65</w:t>
      </w:r>
      <w:r w:rsidRPr="001B4544">
        <w:rPr>
          <w:rFonts w:ascii="Times New Roman" w:eastAsia="Times New Roman" w:hAnsi="Times New Roman" w:cs="Times New Roman"/>
          <w:sz w:val="24"/>
          <w:szCs w:val="24"/>
          <w:lang w:eastAsia="en-IN"/>
        </w:rPr>
        <w:t>(5), 870–878.</w:t>
      </w:r>
    </w:p>
    <w:p w14:paraId="2B216740"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val="fi-FI" w:eastAsia="en-IN"/>
        </w:rPr>
        <w:t xml:space="preserve">Sun, Q., Liang, X., Zheng, Q., Liu, W., Xiao, S., Gu, W., et al. </w:t>
      </w:r>
      <w:r w:rsidRPr="001B4544">
        <w:rPr>
          <w:rFonts w:ascii="Times New Roman" w:eastAsia="Times New Roman" w:hAnsi="Times New Roman" w:cs="Times New Roman"/>
          <w:sz w:val="24"/>
          <w:szCs w:val="24"/>
          <w:lang w:eastAsia="en-IN"/>
        </w:rPr>
        <w:t xml:space="preserve">(2010). High efficacy of 14-day triple therapy-based, bismuth-containing quadruple therapy for initial Helicobacter pylori eradication. </w:t>
      </w:r>
      <w:r w:rsidRPr="001B4544">
        <w:rPr>
          <w:rFonts w:ascii="Times New Roman" w:eastAsia="Times New Roman" w:hAnsi="Times New Roman" w:cs="Times New Roman"/>
          <w:i/>
          <w:iCs/>
          <w:sz w:val="24"/>
          <w:szCs w:val="24"/>
          <w:lang w:eastAsia="en-IN"/>
        </w:rPr>
        <w:t>Helicobacter, 15</w:t>
      </w:r>
      <w:r w:rsidRPr="001B4544">
        <w:rPr>
          <w:rFonts w:ascii="Times New Roman" w:eastAsia="Times New Roman" w:hAnsi="Times New Roman" w:cs="Times New Roman"/>
          <w:sz w:val="24"/>
          <w:szCs w:val="24"/>
          <w:lang w:eastAsia="en-IN"/>
        </w:rPr>
        <w:t>(3), 233–238.</w:t>
      </w:r>
    </w:p>
    <w:p w14:paraId="3B82C503"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Chey, W. D., Leontiadis, G. I., Howden, C. W., &amp; Moss, S. F. (2017). ACG clinical guideline: Treatment of Helicobacter pylori infection. </w:t>
      </w:r>
      <w:r w:rsidRPr="001B4544">
        <w:rPr>
          <w:rFonts w:ascii="Times New Roman" w:eastAsia="Times New Roman" w:hAnsi="Times New Roman" w:cs="Times New Roman"/>
          <w:i/>
          <w:iCs/>
          <w:sz w:val="24"/>
          <w:szCs w:val="24"/>
          <w:lang w:eastAsia="en-IN"/>
        </w:rPr>
        <w:t>The American Journal of Gastroenterology, 112</w:t>
      </w:r>
      <w:r w:rsidRPr="001B4544">
        <w:rPr>
          <w:rFonts w:ascii="Times New Roman" w:eastAsia="Times New Roman" w:hAnsi="Times New Roman" w:cs="Times New Roman"/>
          <w:sz w:val="24"/>
          <w:szCs w:val="24"/>
          <w:lang w:eastAsia="en-IN"/>
        </w:rPr>
        <w:t>(2), 212–239.</w:t>
      </w:r>
    </w:p>
    <w:p w14:paraId="22CCD7DD"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val="de-DE" w:eastAsia="en-IN"/>
        </w:rPr>
        <w:t xml:space="preserve">Chen, P.-Y., Wu, M.-S., Chen, C.-Y., Bair, M.-J., Chou, C.-K., Lin, J.-T., et al. </w:t>
      </w:r>
      <w:r w:rsidRPr="001B4544">
        <w:rPr>
          <w:rFonts w:ascii="Times New Roman" w:eastAsia="Times New Roman" w:hAnsi="Times New Roman" w:cs="Times New Roman"/>
          <w:sz w:val="24"/>
          <w:szCs w:val="24"/>
          <w:lang w:eastAsia="en-IN"/>
        </w:rPr>
        <w:t xml:space="preserve">(2016). Systematic review with meta-analysis: The efficacy of levofloxacin triple therapy as the first- or second-line treatments of Helicobacter pylori infection. </w:t>
      </w:r>
      <w:r w:rsidRPr="001B4544">
        <w:rPr>
          <w:rFonts w:ascii="Times New Roman" w:eastAsia="Times New Roman" w:hAnsi="Times New Roman" w:cs="Times New Roman"/>
          <w:i/>
          <w:iCs/>
          <w:sz w:val="24"/>
          <w:szCs w:val="24"/>
          <w:lang w:eastAsia="en-IN"/>
        </w:rPr>
        <w:t>Alimentary Pharmacology &amp; Therapeutics, 44</w:t>
      </w:r>
      <w:r w:rsidRPr="001B4544">
        <w:rPr>
          <w:rFonts w:ascii="Times New Roman" w:eastAsia="Times New Roman" w:hAnsi="Times New Roman" w:cs="Times New Roman"/>
          <w:sz w:val="24"/>
          <w:szCs w:val="24"/>
          <w:lang w:eastAsia="en-IN"/>
        </w:rPr>
        <w:t>(5), 427–437.</w:t>
      </w:r>
    </w:p>
    <w:p w14:paraId="2781EF9C"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val="sv-SE" w:eastAsia="en-IN"/>
        </w:rPr>
        <w:t xml:space="preserve">Shiota, S., Reddy, R., Alsarraj, A., El-Serag, H. B., &amp; Graham, D. Y. (2015). </w:t>
      </w:r>
      <w:r w:rsidRPr="001B4544">
        <w:rPr>
          <w:rFonts w:ascii="Times New Roman" w:eastAsia="Times New Roman" w:hAnsi="Times New Roman" w:cs="Times New Roman"/>
          <w:sz w:val="24"/>
          <w:szCs w:val="24"/>
          <w:lang w:eastAsia="en-IN"/>
        </w:rPr>
        <w:t xml:space="preserve">Antibiotic resistance of Helicobacter pylori among male United States veterans. </w:t>
      </w:r>
      <w:r w:rsidRPr="001B4544">
        <w:rPr>
          <w:rFonts w:ascii="Times New Roman" w:eastAsia="Times New Roman" w:hAnsi="Times New Roman" w:cs="Times New Roman"/>
          <w:i/>
          <w:iCs/>
          <w:sz w:val="24"/>
          <w:szCs w:val="24"/>
          <w:lang w:eastAsia="en-IN"/>
        </w:rPr>
        <w:t>Clinical Gastroenterology and Hepatology, 13</w:t>
      </w:r>
      <w:r w:rsidRPr="001B4544">
        <w:rPr>
          <w:rFonts w:ascii="Times New Roman" w:eastAsia="Times New Roman" w:hAnsi="Times New Roman" w:cs="Times New Roman"/>
          <w:sz w:val="24"/>
          <w:szCs w:val="24"/>
          <w:lang w:eastAsia="en-IN"/>
        </w:rPr>
        <w:t>(9), 1616–1624.</w:t>
      </w:r>
    </w:p>
    <w:p w14:paraId="3ED20199"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val="de-DE" w:eastAsia="en-IN"/>
        </w:rPr>
        <w:lastRenderedPageBreak/>
        <w:t xml:space="preserve">Graham, D. Y., Lee, Y., &amp; Wu, M. (2014). </w:t>
      </w:r>
      <w:r w:rsidRPr="001B4544">
        <w:rPr>
          <w:rFonts w:ascii="Times New Roman" w:eastAsia="Times New Roman" w:hAnsi="Times New Roman" w:cs="Times New Roman"/>
          <w:sz w:val="24"/>
          <w:szCs w:val="24"/>
          <w:lang w:eastAsia="en-IN"/>
        </w:rPr>
        <w:t xml:space="preserve">Rational Helicobacter pylori therapy: Evidence-based medicine rather than medicine-based evidence. </w:t>
      </w:r>
      <w:r w:rsidRPr="001B4544">
        <w:rPr>
          <w:rFonts w:ascii="Times New Roman" w:eastAsia="Times New Roman" w:hAnsi="Times New Roman" w:cs="Times New Roman"/>
          <w:i/>
          <w:iCs/>
          <w:sz w:val="24"/>
          <w:szCs w:val="24"/>
          <w:lang w:eastAsia="en-IN"/>
        </w:rPr>
        <w:t>Clinical Gastroenterology and Hepatology, 12</w:t>
      </w:r>
      <w:r w:rsidRPr="001B4544">
        <w:rPr>
          <w:rFonts w:ascii="Times New Roman" w:eastAsia="Times New Roman" w:hAnsi="Times New Roman" w:cs="Times New Roman"/>
          <w:sz w:val="24"/>
          <w:szCs w:val="24"/>
          <w:lang w:eastAsia="en-IN"/>
        </w:rPr>
        <w:t>(2), 177-186.e3.</w:t>
      </w:r>
    </w:p>
    <w:p w14:paraId="199420D4"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Gisbert, J. P., &amp; Calvet, X. (2012). Review article: Rifabutin in the treatment of refractory Helicobacter pylori infection. </w:t>
      </w:r>
      <w:r w:rsidRPr="001B4544">
        <w:rPr>
          <w:rFonts w:ascii="Times New Roman" w:eastAsia="Times New Roman" w:hAnsi="Times New Roman" w:cs="Times New Roman"/>
          <w:i/>
          <w:iCs/>
          <w:sz w:val="24"/>
          <w:szCs w:val="24"/>
          <w:lang w:eastAsia="en-IN"/>
        </w:rPr>
        <w:t>Alimentary Pharmacology &amp; Therapeutics, 35</w:t>
      </w:r>
      <w:r w:rsidRPr="001B4544">
        <w:rPr>
          <w:rFonts w:ascii="Times New Roman" w:eastAsia="Times New Roman" w:hAnsi="Times New Roman" w:cs="Times New Roman"/>
          <w:sz w:val="24"/>
          <w:szCs w:val="24"/>
          <w:lang w:eastAsia="en-IN"/>
        </w:rPr>
        <w:t>(2), 209–221.</w:t>
      </w:r>
    </w:p>
    <w:p w14:paraId="62BC1B1D"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Khan, H., Marya, Belwal, T., Mohd Tariq, Atanasov, A. G., &amp; Devkota, H. P. (2019). Genus Vanda: A review on traditional uses, bioactive chemical constituents and pharmacological activities. </w:t>
      </w:r>
      <w:r w:rsidRPr="001B4544">
        <w:rPr>
          <w:rFonts w:ascii="Times New Roman" w:eastAsia="Times New Roman" w:hAnsi="Times New Roman" w:cs="Times New Roman"/>
          <w:i/>
          <w:iCs/>
          <w:sz w:val="24"/>
          <w:szCs w:val="24"/>
          <w:lang w:eastAsia="en-IN"/>
        </w:rPr>
        <w:t>Journal of Ethnopharmacology, 229</w:t>
      </w:r>
      <w:r w:rsidRPr="001B4544">
        <w:rPr>
          <w:rFonts w:ascii="Times New Roman" w:eastAsia="Times New Roman" w:hAnsi="Times New Roman" w:cs="Times New Roman"/>
          <w:sz w:val="24"/>
          <w:szCs w:val="24"/>
          <w:lang w:eastAsia="en-IN"/>
        </w:rPr>
        <w:t>, 46–53.</w:t>
      </w:r>
    </w:p>
    <w:p w14:paraId="656906EB"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Strand, D. S., Kim, D., &amp; Peura, D. A. (2017). 25 years of proton pump inhibitors: A comprehensive review. </w:t>
      </w:r>
      <w:r w:rsidRPr="001B4544">
        <w:rPr>
          <w:rFonts w:ascii="Times New Roman" w:eastAsia="Times New Roman" w:hAnsi="Times New Roman" w:cs="Times New Roman"/>
          <w:i/>
          <w:iCs/>
          <w:sz w:val="24"/>
          <w:szCs w:val="24"/>
          <w:lang w:eastAsia="en-IN"/>
        </w:rPr>
        <w:t>Gut and Liver, 11</w:t>
      </w:r>
      <w:r w:rsidRPr="001B4544">
        <w:rPr>
          <w:rFonts w:ascii="Times New Roman" w:eastAsia="Times New Roman" w:hAnsi="Times New Roman" w:cs="Times New Roman"/>
          <w:sz w:val="24"/>
          <w:szCs w:val="24"/>
          <w:lang w:eastAsia="en-IN"/>
        </w:rPr>
        <w:t>(1), 27–37.</w:t>
      </w:r>
    </w:p>
    <w:p w14:paraId="093B47FB"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daCosta DiBonaventura, M., Yuan, Y., Wagner, J. S., L’Italien, G. J., Lescrauwaet, B., &amp; Langley, P. (2012). The burden of viral hepatitis C in Europe: A propensity analysis of patient outcomes. </w:t>
      </w:r>
      <w:r w:rsidRPr="001B4544">
        <w:rPr>
          <w:rFonts w:ascii="Times New Roman" w:eastAsia="Times New Roman" w:hAnsi="Times New Roman" w:cs="Times New Roman"/>
          <w:i/>
          <w:iCs/>
          <w:sz w:val="24"/>
          <w:szCs w:val="24"/>
          <w:lang w:eastAsia="en-IN"/>
        </w:rPr>
        <w:t>European Journal of Gastroenterology &amp; Hepatology, 24</w:t>
      </w:r>
      <w:r w:rsidRPr="001B4544">
        <w:rPr>
          <w:rFonts w:ascii="Times New Roman" w:eastAsia="Times New Roman" w:hAnsi="Times New Roman" w:cs="Times New Roman"/>
          <w:sz w:val="24"/>
          <w:szCs w:val="24"/>
          <w:lang w:eastAsia="en-IN"/>
        </w:rPr>
        <w:t>(8), 869–877.</w:t>
      </w:r>
    </w:p>
    <w:p w14:paraId="42451D28"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Rostom, A. (2009). Prevention of NSAID-related upper gastrointestinal toxicity: A meta-analysis of traditional NSAIDs with gastroprotection and COX-2 inhibitors. </w:t>
      </w:r>
      <w:r w:rsidRPr="001B4544">
        <w:rPr>
          <w:rFonts w:ascii="Times New Roman" w:eastAsia="Times New Roman" w:hAnsi="Times New Roman" w:cs="Times New Roman"/>
          <w:i/>
          <w:iCs/>
          <w:sz w:val="24"/>
          <w:szCs w:val="24"/>
          <w:lang w:eastAsia="en-IN"/>
        </w:rPr>
        <w:t>Drug, Healthcare and Patient Safety, 1</w:t>
      </w:r>
      <w:r w:rsidRPr="001B4544">
        <w:rPr>
          <w:rFonts w:ascii="Times New Roman" w:eastAsia="Times New Roman" w:hAnsi="Times New Roman" w:cs="Times New Roman"/>
          <w:sz w:val="24"/>
          <w:szCs w:val="24"/>
          <w:lang w:eastAsia="en-IN"/>
        </w:rPr>
        <w:t>, 47.</w:t>
      </w:r>
    </w:p>
    <w:p w14:paraId="707C717A"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Govindarajan, R., Vijayakumar, M., Singh, M., Rao, C. V., Shirwaikar, A., Rawat, A. K. S., et al. (2006). Antiulcer and antimicrobial activity of Anogeissus latifolia. </w:t>
      </w:r>
      <w:r w:rsidRPr="001B4544">
        <w:rPr>
          <w:rFonts w:ascii="Times New Roman" w:eastAsia="Times New Roman" w:hAnsi="Times New Roman" w:cs="Times New Roman"/>
          <w:i/>
          <w:iCs/>
          <w:sz w:val="24"/>
          <w:szCs w:val="24"/>
          <w:lang w:eastAsia="en-IN"/>
        </w:rPr>
        <w:t>Journal of Ethnopharmacology, 106</w:t>
      </w:r>
      <w:r w:rsidRPr="001B4544">
        <w:rPr>
          <w:rFonts w:ascii="Times New Roman" w:eastAsia="Times New Roman" w:hAnsi="Times New Roman" w:cs="Times New Roman"/>
          <w:sz w:val="24"/>
          <w:szCs w:val="24"/>
          <w:lang w:eastAsia="en-IN"/>
        </w:rPr>
        <w:t>(1), 57–61.</w:t>
      </w:r>
    </w:p>
    <w:p w14:paraId="711A4F60"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Govindarajan, R., Vijayakumar, M., Rao, C. V., Shirwaikar, A., Rawat, A. K. S., Mehrotra, S., et al. (2004). Antioxidant potential of Anogeissus latifolia. </w:t>
      </w:r>
      <w:r w:rsidRPr="001B4544">
        <w:rPr>
          <w:rFonts w:ascii="Times New Roman" w:eastAsia="Times New Roman" w:hAnsi="Times New Roman" w:cs="Times New Roman"/>
          <w:i/>
          <w:iCs/>
          <w:sz w:val="24"/>
          <w:szCs w:val="24"/>
          <w:lang w:eastAsia="en-IN"/>
        </w:rPr>
        <w:t>Biological &amp; Pharmaceutical Bulletin, 27</w:t>
      </w:r>
      <w:r w:rsidRPr="001B4544">
        <w:rPr>
          <w:rFonts w:ascii="Times New Roman" w:eastAsia="Times New Roman" w:hAnsi="Times New Roman" w:cs="Times New Roman"/>
          <w:sz w:val="24"/>
          <w:szCs w:val="24"/>
          <w:lang w:eastAsia="en-IN"/>
        </w:rPr>
        <w:t>(8), 1266–1269.</w:t>
      </w:r>
    </w:p>
    <w:p w14:paraId="19641209"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Janahmadi, M., Niazi, F., Danyali, S., &amp; Kamalinejad, M. (2006). Effects of the fruit essential oil of Cuminum cyminum Linn. (Apiaceae) on pentylenetetrazol-induced epileptiform activity in F1 neurones of Helix aspersa. </w:t>
      </w:r>
      <w:r w:rsidRPr="001B4544">
        <w:rPr>
          <w:rFonts w:ascii="Times New Roman" w:eastAsia="Times New Roman" w:hAnsi="Times New Roman" w:cs="Times New Roman"/>
          <w:i/>
          <w:iCs/>
          <w:sz w:val="24"/>
          <w:szCs w:val="24"/>
          <w:lang w:eastAsia="en-IN"/>
        </w:rPr>
        <w:t>Journal of Ethnopharmacology, 104</w:t>
      </w:r>
      <w:r w:rsidRPr="001B4544">
        <w:rPr>
          <w:rFonts w:ascii="Times New Roman" w:eastAsia="Times New Roman" w:hAnsi="Times New Roman" w:cs="Times New Roman"/>
          <w:sz w:val="24"/>
          <w:szCs w:val="24"/>
          <w:lang w:eastAsia="en-IN"/>
        </w:rPr>
        <w:t>(1–2), 278–282.</w:t>
      </w:r>
    </w:p>
    <w:p w14:paraId="2F1495FF"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Pinilla Toro, C. E. (2019). Saberes emergentes de las artes urbanas y cultura de paz. Un estudio de caso en San Salvador. </w:t>
      </w:r>
      <w:r w:rsidRPr="001B4544">
        <w:rPr>
          <w:rFonts w:ascii="Times New Roman" w:eastAsia="Times New Roman" w:hAnsi="Times New Roman" w:cs="Times New Roman"/>
          <w:i/>
          <w:iCs/>
          <w:sz w:val="24"/>
          <w:szCs w:val="24"/>
          <w:lang w:eastAsia="en-IN"/>
        </w:rPr>
        <w:t>Sabia Revista Científica, 5</w:t>
      </w:r>
      <w:r w:rsidRPr="001B4544">
        <w:rPr>
          <w:rFonts w:ascii="Times New Roman" w:eastAsia="Times New Roman" w:hAnsi="Times New Roman" w:cs="Times New Roman"/>
          <w:sz w:val="24"/>
          <w:szCs w:val="24"/>
          <w:lang w:eastAsia="en-IN"/>
        </w:rPr>
        <w:t>(1), 34–50.</w:t>
      </w:r>
    </w:p>
    <w:p w14:paraId="43CB305A"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Sun, F. P., Song, Y. G., Cheng, W., Zhao, T., &amp; Yao, Y. L. (2002). Gastrin, somatostatin, G and D cells of gastric ulcer in rats. </w:t>
      </w:r>
      <w:r w:rsidRPr="001B4544">
        <w:rPr>
          <w:rFonts w:ascii="Times New Roman" w:eastAsia="Times New Roman" w:hAnsi="Times New Roman" w:cs="Times New Roman"/>
          <w:i/>
          <w:iCs/>
          <w:sz w:val="24"/>
          <w:szCs w:val="24"/>
          <w:lang w:eastAsia="en-IN"/>
        </w:rPr>
        <w:t>World Journal of Gastroenterology, 8</w:t>
      </w:r>
      <w:r w:rsidRPr="001B4544">
        <w:rPr>
          <w:rFonts w:ascii="Times New Roman" w:eastAsia="Times New Roman" w:hAnsi="Times New Roman" w:cs="Times New Roman"/>
          <w:sz w:val="24"/>
          <w:szCs w:val="24"/>
          <w:lang w:eastAsia="en-IN"/>
        </w:rPr>
        <w:t>(2), 375.</w:t>
      </w:r>
    </w:p>
    <w:p w14:paraId="650AC8EE"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Rao, C. V., Ojha, S. K., Radhakrishnan, K., Govindarajan, R., Rastogi, S., Mehrotra, S., et al. (2004). Antiulcer activity of Utleria salicifolia rhizome extract. </w:t>
      </w:r>
      <w:r w:rsidRPr="001B4544">
        <w:rPr>
          <w:rFonts w:ascii="Times New Roman" w:eastAsia="Times New Roman" w:hAnsi="Times New Roman" w:cs="Times New Roman"/>
          <w:i/>
          <w:iCs/>
          <w:sz w:val="24"/>
          <w:szCs w:val="24"/>
          <w:lang w:eastAsia="en-IN"/>
        </w:rPr>
        <w:t>Journal of Ethnopharmacology, 91</w:t>
      </w:r>
      <w:r w:rsidRPr="001B4544">
        <w:rPr>
          <w:rFonts w:ascii="Times New Roman" w:eastAsia="Times New Roman" w:hAnsi="Times New Roman" w:cs="Times New Roman"/>
          <w:sz w:val="24"/>
          <w:szCs w:val="24"/>
          <w:lang w:eastAsia="en-IN"/>
        </w:rPr>
        <w:t>(2–3), 243–249.</w:t>
      </w:r>
    </w:p>
    <w:p w14:paraId="69CB434D"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lastRenderedPageBreak/>
        <w:t xml:space="preserve">Fridovich, I. (1986). Biological effects of the superoxide radical. </w:t>
      </w:r>
      <w:r w:rsidRPr="001B4544">
        <w:rPr>
          <w:rFonts w:ascii="Times New Roman" w:eastAsia="Times New Roman" w:hAnsi="Times New Roman" w:cs="Times New Roman"/>
          <w:i/>
          <w:iCs/>
          <w:sz w:val="24"/>
          <w:szCs w:val="24"/>
          <w:lang w:eastAsia="en-IN"/>
        </w:rPr>
        <w:t>Archives of Biochemistry and Biophysics, 247</w:t>
      </w:r>
      <w:r w:rsidRPr="001B4544">
        <w:rPr>
          <w:rFonts w:ascii="Times New Roman" w:eastAsia="Times New Roman" w:hAnsi="Times New Roman" w:cs="Times New Roman"/>
          <w:sz w:val="24"/>
          <w:szCs w:val="24"/>
          <w:lang w:eastAsia="en-IN"/>
        </w:rPr>
        <w:t>(1), 1–11.</w:t>
      </w:r>
    </w:p>
    <w:p w14:paraId="35E1CFF1"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Halliwell, B., &amp; Gutteridge, J. M. C. (2005). </w:t>
      </w:r>
      <w:r w:rsidRPr="001B4544">
        <w:rPr>
          <w:rFonts w:ascii="Times New Roman" w:eastAsia="Times New Roman" w:hAnsi="Times New Roman" w:cs="Times New Roman"/>
          <w:i/>
          <w:iCs/>
          <w:sz w:val="24"/>
          <w:szCs w:val="24"/>
          <w:lang w:eastAsia="en-IN"/>
        </w:rPr>
        <w:t>Free radicals in biology and medicine</w:t>
      </w:r>
      <w:r w:rsidRPr="001B4544">
        <w:rPr>
          <w:rFonts w:ascii="Times New Roman" w:eastAsia="Times New Roman" w:hAnsi="Times New Roman" w:cs="Times New Roman"/>
          <w:sz w:val="24"/>
          <w:szCs w:val="24"/>
          <w:lang w:eastAsia="en-IN"/>
        </w:rPr>
        <w:t xml:space="preserve"> (3rd ed.). Oxford University Press.</w:t>
      </w:r>
    </w:p>
    <w:p w14:paraId="32F32AC4"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Jainu, M., &amp; Devi, C. S. S. (2006). Antiulcerogenic and ulcer healing effects of Solanum nigrum (L.) on experimental ulcer models: Possible mechanism for the inhibition of acid formation. </w:t>
      </w:r>
      <w:r w:rsidRPr="001B4544">
        <w:rPr>
          <w:rFonts w:ascii="Times New Roman" w:eastAsia="Times New Roman" w:hAnsi="Times New Roman" w:cs="Times New Roman"/>
          <w:i/>
          <w:iCs/>
          <w:sz w:val="24"/>
          <w:szCs w:val="24"/>
          <w:lang w:eastAsia="en-IN"/>
        </w:rPr>
        <w:t>Journal of Ethnopharmacology, 104</w:t>
      </w:r>
      <w:r w:rsidRPr="001B4544">
        <w:rPr>
          <w:rFonts w:ascii="Times New Roman" w:eastAsia="Times New Roman" w:hAnsi="Times New Roman" w:cs="Times New Roman"/>
          <w:sz w:val="24"/>
          <w:szCs w:val="24"/>
          <w:lang w:eastAsia="en-IN"/>
        </w:rPr>
        <w:t>(1–2), 156–163.</w:t>
      </w:r>
    </w:p>
    <w:p w14:paraId="35BC6F5B"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Akhtar, M. S., &amp; Munir, M. (1989). Evaluation of the gastric antiulcerogenic effects of Solanum nigrum, Brassica oleracea and Ocimum basilicum in rats. </w:t>
      </w:r>
      <w:r w:rsidRPr="001B4544">
        <w:rPr>
          <w:rFonts w:ascii="Times New Roman" w:eastAsia="Times New Roman" w:hAnsi="Times New Roman" w:cs="Times New Roman"/>
          <w:i/>
          <w:iCs/>
          <w:sz w:val="24"/>
          <w:szCs w:val="24"/>
          <w:lang w:eastAsia="en-IN"/>
        </w:rPr>
        <w:t>Journal of Ethnopharmacology, 27</w:t>
      </w:r>
      <w:r w:rsidRPr="001B4544">
        <w:rPr>
          <w:rFonts w:ascii="Times New Roman" w:eastAsia="Times New Roman" w:hAnsi="Times New Roman" w:cs="Times New Roman"/>
          <w:sz w:val="24"/>
          <w:szCs w:val="24"/>
          <w:lang w:eastAsia="en-IN"/>
        </w:rPr>
        <w:t>(1–2), 163–176.</w:t>
      </w:r>
    </w:p>
    <w:p w14:paraId="1908BAD8"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Son, Y. O., Kim, J., Lim, J. C., Chung, Y., Chung, G. H., &amp; Lee, J. C. (2003). Ripe fruits of Solanum nigrum L. inhibits cell growth and induces apoptosis in MCF-7 cells. </w:t>
      </w:r>
      <w:r w:rsidRPr="001B4544">
        <w:rPr>
          <w:rFonts w:ascii="Times New Roman" w:eastAsia="Times New Roman" w:hAnsi="Times New Roman" w:cs="Times New Roman"/>
          <w:i/>
          <w:iCs/>
          <w:sz w:val="24"/>
          <w:szCs w:val="24"/>
          <w:lang w:eastAsia="en-IN"/>
        </w:rPr>
        <w:t>Food and Chemical Toxicology, 41</w:t>
      </w:r>
      <w:r w:rsidRPr="001B4544">
        <w:rPr>
          <w:rFonts w:ascii="Times New Roman" w:eastAsia="Times New Roman" w:hAnsi="Times New Roman" w:cs="Times New Roman"/>
          <w:sz w:val="24"/>
          <w:szCs w:val="24"/>
          <w:lang w:eastAsia="en-IN"/>
        </w:rPr>
        <w:t>(10), 1421–1428.</w:t>
      </w:r>
    </w:p>
    <w:p w14:paraId="7EF4C090"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Jainu, M., &amp; Devi, C. S. S. (2004). Antioxidant effect of methanolic extract of Solanum nigrum berries on aspirin induced gastric mucosal injury. </w:t>
      </w:r>
      <w:r w:rsidRPr="001B4544">
        <w:rPr>
          <w:rFonts w:ascii="Times New Roman" w:eastAsia="Times New Roman" w:hAnsi="Times New Roman" w:cs="Times New Roman"/>
          <w:i/>
          <w:iCs/>
          <w:sz w:val="24"/>
          <w:szCs w:val="24"/>
          <w:lang w:eastAsia="en-IN"/>
        </w:rPr>
        <w:t>Indian Journal of Clinical Biochemistry, 19</w:t>
      </w:r>
      <w:r w:rsidRPr="001B4544">
        <w:rPr>
          <w:rFonts w:ascii="Times New Roman" w:eastAsia="Times New Roman" w:hAnsi="Times New Roman" w:cs="Times New Roman"/>
          <w:sz w:val="24"/>
          <w:szCs w:val="24"/>
          <w:lang w:eastAsia="en-IN"/>
        </w:rPr>
        <w:t>(1), 57–61.</w:t>
      </w:r>
    </w:p>
    <w:p w14:paraId="0E8C5B30"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Ríos, J. L., Recio, M. C., &amp; Villar, A. (1987). Antimicrobial activity of selected plants employed in the Spanish mediterranean area. </w:t>
      </w:r>
      <w:r w:rsidRPr="001B4544">
        <w:rPr>
          <w:rFonts w:ascii="Times New Roman" w:eastAsia="Times New Roman" w:hAnsi="Times New Roman" w:cs="Times New Roman"/>
          <w:i/>
          <w:iCs/>
          <w:sz w:val="24"/>
          <w:szCs w:val="24"/>
          <w:lang w:eastAsia="en-IN"/>
        </w:rPr>
        <w:t>Journal of Ethnopharmacology, 21</w:t>
      </w:r>
      <w:r w:rsidRPr="001B4544">
        <w:rPr>
          <w:rFonts w:ascii="Times New Roman" w:eastAsia="Times New Roman" w:hAnsi="Times New Roman" w:cs="Times New Roman"/>
          <w:sz w:val="24"/>
          <w:szCs w:val="24"/>
          <w:lang w:eastAsia="en-IN"/>
        </w:rPr>
        <w:t>(2), 139–152.</w:t>
      </w:r>
    </w:p>
    <w:p w14:paraId="3992F21E"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Vats, V., Yadav, S. P., Biswas, N. R., &amp; Grover, J. K. (2004). Anti-cataract activity of Pterocarpus marsupium bark and Trigonella foenum-graecum seeds extract in alloxan diabetic rats. </w:t>
      </w:r>
      <w:r w:rsidRPr="001B4544">
        <w:rPr>
          <w:rFonts w:ascii="Times New Roman" w:eastAsia="Times New Roman" w:hAnsi="Times New Roman" w:cs="Times New Roman"/>
          <w:i/>
          <w:iCs/>
          <w:sz w:val="24"/>
          <w:szCs w:val="24"/>
          <w:lang w:eastAsia="en-IN"/>
        </w:rPr>
        <w:t>Journal of Ethnopharmacology, 93</w:t>
      </w:r>
      <w:r w:rsidRPr="001B4544">
        <w:rPr>
          <w:rFonts w:ascii="Times New Roman" w:eastAsia="Times New Roman" w:hAnsi="Times New Roman" w:cs="Times New Roman"/>
          <w:sz w:val="24"/>
          <w:szCs w:val="24"/>
          <w:lang w:eastAsia="en-IN"/>
        </w:rPr>
        <w:t>(2–3), 289–294.</w:t>
      </w:r>
    </w:p>
    <w:p w14:paraId="555F2CC8"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Borovskikh, N. A., Filev, L. V., &amp; Luk’ianov, I. V. (1991). [The effect of the methods of anesthesiological assistance and blood oxygenation on the oxygen-transport properties of the blood in reconstructive interventions on the abdominal aorta and vessels of the lower extremities]. </w:t>
      </w:r>
      <w:r w:rsidRPr="001B4544">
        <w:rPr>
          <w:rFonts w:ascii="Times New Roman" w:eastAsia="Times New Roman" w:hAnsi="Times New Roman" w:cs="Times New Roman"/>
          <w:i/>
          <w:iCs/>
          <w:sz w:val="24"/>
          <w:szCs w:val="24"/>
          <w:lang w:eastAsia="en-IN"/>
        </w:rPr>
        <w:t>Grudnaia i Serdechno-sosudistaia Khirurgiia</w:t>
      </w:r>
      <w:r w:rsidRPr="001B4544">
        <w:rPr>
          <w:rFonts w:ascii="Times New Roman" w:eastAsia="Times New Roman" w:hAnsi="Times New Roman" w:cs="Times New Roman"/>
          <w:sz w:val="24"/>
          <w:szCs w:val="24"/>
          <w:lang w:eastAsia="en-IN"/>
        </w:rPr>
        <w:t>, (11), 27–30.</w:t>
      </w:r>
    </w:p>
    <w:p w14:paraId="3F45E43A"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Evangelista, S., Giachetti, A., Chapelain, B., Neliat, G., &amp; Maggi, C. A. (1998). Receptor binding profile of otilinium bromide. </w:t>
      </w:r>
      <w:r w:rsidRPr="001B4544">
        <w:rPr>
          <w:rFonts w:ascii="Times New Roman" w:eastAsia="Times New Roman" w:hAnsi="Times New Roman" w:cs="Times New Roman"/>
          <w:i/>
          <w:iCs/>
          <w:sz w:val="24"/>
          <w:szCs w:val="24"/>
          <w:lang w:eastAsia="en-IN"/>
        </w:rPr>
        <w:t>Pharmacological Research, 38</w:t>
      </w:r>
      <w:r w:rsidRPr="001B4544">
        <w:rPr>
          <w:rFonts w:ascii="Times New Roman" w:eastAsia="Times New Roman" w:hAnsi="Times New Roman" w:cs="Times New Roman"/>
          <w:sz w:val="24"/>
          <w:szCs w:val="24"/>
          <w:lang w:eastAsia="en-IN"/>
        </w:rPr>
        <w:t>(2), 111–117.</w:t>
      </w:r>
    </w:p>
    <w:p w14:paraId="77514A4D"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Newell, K. A., He, G., Guo, Z., Kim, O., Szot, G. L., Rulifson, I., et al. (1999). Cutting edge: Blockade of the CD28/B7 costimulatory pathway inhibits intestinal allograft rejection mediated by CD4+ but not CD8+ T cells. </w:t>
      </w:r>
      <w:r w:rsidRPr="001B4544">
        <w:rPr>
          <w:rFonts w:ascii="Times New Roman" w:eastAsia="Times New Roman" w:hAnsi="Times New Roman" w:cs="Times New Roman"/>
          <w:i/>
          <w:iCs/>
          <w:sz w:val="24"/>
          <w:szCs w:val="24"/>
          <w:lang w:eastAsia="en-IN"/>
        </w:rPr>
        <w:t>The Journal of Immunology, 163</w:t>
      </w:r>
      <w:r w:rsidRPr="001B4544">
        <w:rPr>
          <w:rFonts w:ascii="Times New Roman" w:eastAsia="Times New Roman" w:hAnsi="Times New Roman" w:cs="Times New Roman"/>
          <w:sz w:val="24"/>
          <w:szCs w:val="24"/>
          <w:lang w:eastAsia="en-IN"/>
        </w:rPr>
        <w:t>(5), 2358–2362.</w:t>
      </w:r>
    </w:p>
    <w:p w14:paraId="049C65E3"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lastRenderedPageBreak/>
        <w:t xml:space="preserve">Murali, B., Upadhyaya, U. M., &amp; Goyal, R. K. (2003). Corrigendum to “Effect of chronic treatment with Enicostemma littorale in non-insulin-dependent diabetic (NIDDM) rats.” </w:t>
      </w:r>
      <w:r w:rsidRPr="001B4544">
        <w:rPr>
          <w:rFonts w:ascii="Times New Roman" w:eastAsia="Times New Roman" w:hAnsi="Times New Roman" w:cs="Times New Roman"/>
          <w:i/>
          <w:iCs/>
          <w:sz w:val="24"/>
          <w:szCs w:val="24"/>
          <w:lang w:eastAsia="en-IN"/>
        </w:rPr>
        <w:t>Journal of Ethnopharmacology, 85</w:t>
      </w:r>
      <w:r w:rsidRPr="001B4544">
        <w:rPr>
          <w:rFonts w:ascii="Times New Roman" w:eastAsia="Times New Roman" w:hAnsi="Times New Roman" w:cs="Times New Roman"/>
          <w:sz w:val="24"/>
          <w:szCs w:val="24"/>
          <w:lang w:eastAsia="en-IN"/>
        </w:rPr>
        <w:t>(2–3), 299.</w:t>
      </w:r>
    </w:p>
    <w:p w14:paraId="7EFD56F4"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Daubenberger, C. A., Pöltl-Frank, F., Jiang, G., Lipp, J., Certa, U., &amp; Pluschke, G. (2000). Identification and recombinant expression of glyceraldehyde-3-phosphate dehydrogenase of Plasmodium falciparum. </w:t>
      </w:r>
      <w:r w:rsidRPr="001B4544">
        <w:rPr>
          <w:rFonts w:ascii="Times New Roman" w:eastAsia="Times New Roman" w:hAnsi="Times New Roman" w:cs="Times New Roman"/>
          <w:i/>
          <w:iCs/>
          <w:sz w:val="24"/>
          <w:szCs w:val="24"/>
          <w:lang w:eastAsia="en-IN"/>
        </w:rPr>
        <w:t>Gene, 246</w:t>
      </w:r>
      <w:r w:rsidRPr="001B4544">
        <w:rPr>
          <w:rFonts w:ascii="Times New Roman" w:eastAsia="Times New Roman" w:hAnsi="Times New Roman" w:cs="Times New Roman"/>
          <w:sz w:val="24"/>
          <w:szCs w:val="24"/>
          <w:lang w:eastAsia="en-IN"/>
        </w:rPr>
        <w:t>(1–2), 255–264.</w:t>
      </w:r>
    </w:p>
    <w:p w14:paraId="57FDD642"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Salehi, M., Karegar-Borzi, H., Karimi, M., &amp; Rahimi, R. (2017). Medicinal plants for management of gastroesophageal reflux disease: A review of animal and human studies. </w:t>
      </w:r>
      <w:r w:rsidRPr="001B4544">
        <w:rPr>
          <w:rFonts w:ascii="Times New Roman" w:eastAsia="Times New Roman" w:hAnsi="Times New Roman" w:cs="Times New Roman"/>
          <w:i/>
          <w:iCs/>
          <w:sz w:val="24"/>
          <w:szCs w:val="24"/>
          <w:lang w:eastAsia="en-IN"/>
        </w:rPr>
        <w:t>The Journal of Alternative and Complementary Medicine, 23</w:t>
      </w:r>
      <w:r w:rsidRPr="001B4544">
        <w:rPr>
          <w:rFonts w:ascii="Times New Roman" w:eastAsia="Times New Roman" w:hAnsi="Times New Roman" w:cs="Times New Roman"/>
          <w:sz w:val="24"/>
          <w:szCs w:val="24"/>
          <w:lang w:eastAsia="en-IN"/>
        </w:rPr>
        <w:t>(2), 82–95.</w:t>
      </w:r>
    </w:p>
    <w:p w14:paraId="4011997D"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Oh, T. (2001). Oxidative damages are critical in pathogenesis of reflux esophagitis: Implication of antioxidants in its treatment. </w:t>
      </w:r>
      <w:r w:rsidRPr="001B4544">
        <w:rPr>
          <w:rFonts w:ascii="Times New Roman" w:eastAsia="Times New Roman" w:hAnsi="Times New Roman" w:cs="Times New Roman"/>
          <w:i/>
          <w:iCs/>
          <w:sz w:val="24"/>
          <w:szCs w:val="24"/>
          <w:lang w:eastAsia="en-IN"/>
        </w:rPr>
        <w:t>Free Radical Biology and Medicine, 30</w:t>
      </w:r>
      <w:r w:rsidRPr="001B4544">
        <w:rPr>
          <w:rFonts w:ascii="Times New Roman" w:eastAsia="Times New Roman" w:hAnsi="Times New Roman" w:cs="Times New Roman"/>
          <w:sz w:val="24"/>
          <w:szCs w:val="24"/>
          <w:lang w:eastAsia="en-IN"/>
        </w:rPr>
        <w:t>(8), 905–915.</w:t>
      </w:r>
    </w:p>
    <w:p w14:paraId="7E3A1F62"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Mahattanadul, S., Radenahmad, N., Phadoongsombut, N., Chuchom, T., Panichayupakaranant, P., Yano, S., et al. (2006). Effects of curcumin on reflux esophagitis in rats. </w:t>
      </w:r>
      <w:r w:rsidRPr="001B4544">
        <w:rPr>
          <w:rFonts w:ascii="Times New Roman" w:eastAsia="Times New Roman" w:hAnsi="Times New Roman" w:cs="Times New Roman"/>
          <w:i/>
          <w:iCs/>
          <w:sz w:val="24"/>
          <w:szCs w:val="24"/>
          <w:lang w:eastAsia="en-IN"/>
        </w:rPr>
        <w:t>Journal of Natural Medicines, 60</w:t>
      </w:r>
      <w:r w:rsidRPr="001B4544">
        <w:rPr>
          <w:rFonts w:ascii="Times New Roman" w:eastAsia="Times New Roman" w:hAnsi="Times New Roman" w:cs="Times New Roman"/>
          <w:sz w:val="24"/>
          <w:szCs w:val="24"/>
          <w:lang w:eastAsia="en-IN"/>
        </w:rPr>
        <w:t>(3), 198–205.</w:t>
      </w:r>
    </w:p>
    <w:p w14:paraId="16D2DDAD"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Langmead, L., &amp; Rampton, D. S. (2001). Review article: Herbal treatment in gastrointestinal and liver disease—benefits and dangers. </w:t>
      </w:r>
      <w:r w:rsidRPr="001B4544">
        <w:rPr>
          <w:rFonts w:ascii="Times New Roman" w:eastAsia="Times New Roman" w:hAnsi="Times New Roman" w:cs="Times New Roman"/>
          <w:i/>
          <w:iCs/>
          <w:sz w:val="24"/>
          <w:szCs w:val="24"/>
          <w:lang w:eastAsia="en-IN"/>
        </w:rPr>
        <w:t>Alimentary Pharmacology &amp; Therapeutics, 15</w:t>
      </w:r>
      <w:r w:rsidRPr="001B4544">
        <w:rPr>
          <w:rFonts w:ascii="Times New Roman" w:eastAsia="Times New Roman" w:hAnsi="Times New Roman" w:cs="Times New Roman"/>
          <w:sz w:val="24"/>
          <w:szCs w:val="24"/>
          <w:lang w:eastAsia="en-IN"/>
        </w:rPr>
        <w:t>(9), 1239–1252.</w:t>
      </w:r>
    </w:p>
    <w:p w14:paraId="328EFF0E"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Chan, F. K., &amp; Leung, W. (2002). Peptic-ulcer disease. </w:t>
      </w:r>
      <w:r w:rsidRPr="001B4544">
        <w:rPr>
          <w:rFonts w:ascii="Times New Roman" w:eastAsia="Times New Roman" w:hAnsi="Times New Roman" w:cs="Times New Roman"/>
          <w:i/>
          <w:iCs/>
          <w:sz w:val="24"/>
          <w:szCs w:val="24"/>
          <w:lang w:eastAsia="en-IN"/>
        </w:rPr>
        <w:t>The Lancet, 360</w:t>
      </w:r>
      <w:r w:rsidRPr="001B4544">
        <w:rPr>
          <w:rFonts w:ascii="Times New Roman" w:eastAsia="Times New Roman" w:hAnsi="Times New Roman" w:cs="Times New Roman"/>
          <w:sz w:val="24"/>
          <w:szCs w:val="24"/>
          <w:lang w:eastAsia="en-IN"/>
        </w:rPr>
        <w:t>(9337), 933–941.</w:t>
      </w:r>
    </w:p>
    <w:p w14:paraId="32DB8152"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Huang, Y.-H., Wu, J.-C., Chen, S.-C., Chen, C.-H., Chiang, J.-H., Huo, T.-I., et al. (2006). Survival benefit of transcatheter arterial chemoembolization in patients with hepatocellular carcinoma larger than 10 cm in diameter. </w:t>
      </w:r>
      <w:r w:rsidRPr="001B4544">
        <w:rPr>
          <w:rFonts w:ascii="Times New Roman" w:eastAsia="Times New Roman" w:hAnsi="Times New Roman" w:cs="Times New Roman"/>
          <w:i/>
          <w:iCs/>
          <w:sz w:val="24"/>
          <w:szCs w:val="24"/>
          <w:lang w:eastAsia="en-IN"/>
        </w:rPr>
        <w:t>Alimentary Pharmacology &amp; Therapeutics, 23</w:t>
      </w:r>
      <w:r w:rsidRPr="001B4544">
        <w:rPr>
          <w:rFonts w:ascii="Times New Roman" w:eastAsia="Times New Roman" w:hAnsi="Times New Roman" w:cs="Times New Roman"/>
          <w:sz w:val="24"/>
          <w:szCs w:val="24"/>
          <w:lang w:eastAsia="en-IN"/>
        </w:rPr>
        <w:t>(1), 129–135.</w:t>
      </w:r>
    </w:p>
    <w:p w14:paraId="29FCFA56"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Di Giulio, E., Lahner, E., Micheletti, A., Milione, M., D’Ambra, G., Bordi, C., et al. (2005). Occurrence and risk factors for benign epithelial gastric polyps in atrophic body gastritis on diagnosis and follow-up. </w:t>
      </w:r>
      <w:r w:rsidRPr="001B4544">
        <w:rPr>
          <w:rFonts w:ascii="Times New Roman" w:eastAsia="Times New Roman" w:hAnsi="Times New Roman" w:cs="Times New Roman"/>
          <w:i/>
          <w:iCs/>
          <w:sz w:val="24"/>
          <w:szCs w:val="24"/>
          <w:lang w:eastAsia="en-IN"/>
        </w:rPr>
        <w:t>Alimentary Pharmacology &amp; Therapeutics, 21</w:t>
      </w:r>
      <w:r w:rsidRPr="001B4544">
        <w:rPr>
          <w:rFonts w:ascii="Times New Roman" w:eastAsia="Times New Roman" w:hAnsi="Times New Roman" w:cs="Times New Roman"/>
          <w:sz w:val="24"/>
          <w:szCs w:val="24"/>
          <w:lang w:eastAsia="en-IN"/>
        </w:rPr>
        <w:t>(5), 567–574.</w:t>
      </w:r>
    </w:p>
    <w:p w14:paraId="691C7D05"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Bennett-Guerrero, E., Jimenez, J. L., White, W. D., D’Amico, E. B., Baldwin, B. I., &amp; Schwinn, D. A. (1996). Cardiovascular effects of intravenous triiodothyronine in patients undergoing coronary artery bypass graft surgery. A randomized, double-blind, placebo-controlled trial. </w:t>
      </w:r>
      <w:r w:rsidRPr="001B4544">
        <w:rPr>
          <w:rFonts w:ascii="Times New Roman" w:eastAsia="Times New Roman" w:hAnsi="Times New Roman" w:cs="Times New Roman"/>
          <w:i/>
          <w:iCs/>
          <w:sz w:val="24"/>
          <w:szCs w:val="24"/>
          <w:lang w:eastAsia="en-IN"/>
        </w:rPr>
        <w:t>JAMA, 275</w:t>
      </w:r>
      <w:r w:rsidRPr="001B4544">
        <w:rPr>
          <w:rFonts w:ascii="Times New Roman" w:eastAsia="Times New Roman" w:hAnsi="Times New Roman" w:cs="Times New Roman"/>
          <w:sz w:val="24"/>
          <w:szCs w:val="24"/>
          <w:lang w:eastAsia="en-IN"/>
        </w:rPr>
        <w:t>(9), 687–692.</w:t>
      </w:r>
    </w:p>
    <w:p w14:paraId="04F52979"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Cone, R. W., Hobson, A. C., Huang, M. L., &amp; Fairfax, M. R. (1990). Polymerase chain reaction decontamination: The wipe test. </w:t>
      </w:r>
      <w:r w:rsidRPr="001B4544">
        <w:rPr>
          <w:rFonts w:ascii="Times New Roman" w:eastAsia="Times New Roman" w:hAnsi="Times New Roman" w:cs="Times New Roman"/>
          <w:i/>
          <w:iCs/>
          <w:sz w:val="24"/>
          <w:szCs w:val="24"/>
          <w:lang w:eastAsia="en-IN"/>
        </w:rPr>
        <w:t>The Lancet, 336</w:t>
      </w:r>
      <w:r w:rsidRPr="001B4544">
        <w:rPr>
          <w:rFonts w:ascii="Times New Roman" w:eastAsia="Times New Roman" w:hAnsi="Times New Roman" w:cs="Times New Roman"/>
          <w:sz w:val="24"/>
          <w:szCs w:val="24"/>
          <w:lang w:eastAsia="en-IN"/>
        </w:rPr>
        <w:t>(8716), 686–687.</w:t>
      </w:r>
    </w:p>
    <w:p w14:paraId="4C44B5B6"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lastRenderedPageBreak/>
        <w:t xml:space="preserve">Edsbäcker, S., Nilsson, M., &amp; Larsson, P. (1999). A cortisol suppression dose-response comparison of budesonide in controlled ileal release capsules with prednisolone. </w:t>
      </w:r>
      <w:r w:rsidRPr="001B4544">
        <w:rPr>
          <w:rFonts w:ascii="Times New Roman" w:eastAsia="Times New Roman" w:hAnsi="Times New Roman" w:cs="Times New Roman"/>
          <w:i/>
          <w:iCs/>
          <w:sz w:val="24"/>
          <w:szCs w:val="24"/>
          <w:lang w:eastAsia="en-IN"/>
        </w:rPr>
        <w:t>Alimentary Pharmacology &amp; Therapeutics, 13</w:t>
      </w:r>
      <w:r w:rsidRPr="001B4544">
        <w:rPr>
          <w:rFonts w:ascii="Times New Roman" w:eastAsia="Times New Roman" w:hAnsi="Times New Roman" w:cs="Times New Roman"/>
          <w:sz w:val="24"/>
          <w:szCs w:val="24"/>
          <w:lang w:eastAsia="en-IN"/>
        </w:rPr>
        <w:t>(2), 219–224.</w:t>
      </w:r>
    </w:p>
    <w:p w14:paraId="02FBEE26"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Mackta, J. (2003). The Animal Care Council: A model for improved collaboration and communication. </w:t>
      </w:r>
      <w:r w:rsidRPr="001B4544">
        <w:rPr>
          <w:rFonts w:ascii="Times New Roman" w:eastAsia="Times New Roman" w:hAnsi="Times New Roman" w:cs="Times New Roman"/>
          <w:i/>
          <w:iCs/>
          <w:sz w:val="24"/>
          <w:szCs w:val="24"/>
          <w:lang w:eastAsia="en-IN"/>
        </w:rPr>
        <w:t>Contemporary Topics in Laboratory Animal Science, 42</w:t>
      </w:r>
      <w:r w:rsidRPr="001B4544">
        <w:rPr>
          <w:rFonts w:ascii="Times New Roman" w:eastAsia="Times New Roman" w:hAnsi="Times New Roman" w:cs="Times New Roman"/>
          <w:sz w:val="24"/>
          <w:szCs w:val="24"/>
          <w:lang w:eastAsia="en-IN"/>
        </w:rPr>
        <w:t>(6), 68–69.</w:t>
      </w:r>
    </w:p>
    <w:p w14:paraId="15EBD1EB"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McCarthy, D. M. (1991). Sucralfate. </w:t>
      </w:r>
      <w:r w:rsidRPr="001B4544">
        <w:rPr>
          <w:rFonts w:ascii="Times New Roman" w:eastAsia="Times New Roman" w:hAnsi="Times New Roman" w:cs="Times New Roman"/>
          <w:i/>
          <w:iCs/>
          <w:sz w:val="24"/>
          <w:szCs w:val="24"/>
          <w:lang w:eastAsia="en-IN"/>
        </w:rPr>
        <w:t>The New England Journal of Medicine, 325</w:t>
      </w:r>
      <w:r w:rsidRPr="001B4544">
        <w:rPr>
          <w:rFonts w:ascii="Times New Roman" w:eastAsia="Times New Roman" w:hAnsi="Times New Roman" w:cs="Times New Roman"/>
          <w:sz w:val="24"/>
          <w:szCs w:val="24"/>
          <w:lang w:eastAsia="en-IN"/>
        </w:rPr>
        <w:t>(14), 1017–1025.</w:t>
      </w:r>
    </w:p>
    <w:p w14:paraId="12E0DB00"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McDonald, D. E., Pethick, D. W., Mullan, B. P., &amp; Hampson, D. J. (2001). Increasing viscosity of the intestinal contents alters small intestinal structure and intestinal growth, and stimulates proliferation of enterotoxigenic Escherichia coli in newly-weaned pigs. </w:t>
      </w:r>
      <w:r w:rsidRPr="001B4544">
        <w:rPr>
          <w:rFonts w:ascii="Times New Roman" w:eastAsia="Times New Roman" w:hAnsi="Times New Roman" w:cs="Times New Roman"/>
          <w:i/>
          <w:iCs/>
          <w:sz w:val="24"/>
          <w:szCs w:val="24"/>
          <w:lang w:eastAsia="en-IN"/>
        </w:rPr>
        <w:t>British Journal of Nutrition, 86</w:t>
      </w:r>
      <w:r w:rsidRPr="001B4544">
        <w:rPr>
          <w:rFonts w:ascii="Times New Roman" w:eastAsia="Times New Roman" w:hAnsi="Times New Roman" w:cs="Times New Roman"/>
          <w:sz w:val="24"/>
          <w:szCs w:val="24"/>
          <w:lang w:eastAsia="en-IN"/>
        </w:rPr>
        <w:t>(4), 487–498.</w:t>
      </w:r>
    </w:p>
    <w:p w14:paraId="573E4313"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Yu, V. C., Hochhaus, G., Chang, F. H., Richards, M. L., Bourne, H. R., &amp; Sadée, W. (1988). Differentiation of human neuroblastoma cells: Marked potentiation of prostaglandin E-stimulated accumulation of cyclic AMP by retinoic acid. </w:t>
      </w:r>
      <w:r w:rsidRPr="001B4544">
        <w:rPr>
          <w:rFonts w:ascii="Times New Roman" w:eastAsia="Times New Roman" w:hAnsi="Times New Roman" w:cs="Times New Roman"/>
          <w:i/>
          <w:iCs/>
          <w:sz w:val="24"/>
          <w:szCs w:val="24"/>
          <w:lang w:eastAsia="en-IN"/>
        </w:rPr>
        <w:t>Journal of Neurochemistry, 51</w:t>
      </w:r>
      <w:r w:rsidRPr="001B4544">
        <w:rPr>
          <w:rFonts w:ascii="Times New Roman" w:eastAsia="Times New Roman" w:hAnsi="Times New Roman" w:cs="Times New Roman"/>
          <w:sz w:val="24"/>
          <w:szCs w:val="24"/>
          <w:lang w:eastAsia="en-IN"/>
        </w:rPr>
        <w:t>(6), 1892–1899.</w:t>
      </w:r>
    </w:p>
    <w:p w14:paraId="0AA012F6"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Büning, C., Schmidt, H. H. J., Molnar, T., De Jong, D. J., Fiedler, T., Bühner, S., et al. (2007). Heterozygosity for IL23R p.Arg381Gln confers a protective effect not only against Crohn’s disease but also ulcerative colitis. </w:t>
      </w:r>
      <w:r w:rsidRPr="001B4544">
        <w:rPr>
          <w:rFonts w:ascii="Times New Roman" w:eastAsia="Times New Roman" w:hAnsi="Times New Roman" w:cs="Times New Roman"/>
          <w:i/>
          <w:iCs/>
          <w:sz w:val="24"/>
          <w:szCs w:val="24"/>
          <w:lang w:eastAsia="en-IN"/>
        </w:rPr>
        <w:t>Alimentary Pharmacology &amp; Therapeutics, 26</w:t>
      </w:r>
      <w:r w:rsidRPr="001B4544">
        <w:rPr>
          <w:rFonts w:ascii="Times New Roman" w:eastAsia="Times New Roman" w:hAnsi="Times New Roman" w:cs="Times New Roman"/>
          <w:sz w:val="24"/>
          <w:szCs w:val="24"/>
          <w:lang w:eastAsia="en-IN"/>
        </w:rPr>
        <w:t>(7), 1025–1033.</w:t>
      </w:r>
    </w:p>
    <w:p w14:paraId="3A041FCA"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McShane, R., Areosa Sastre, A., &amp; Minakaran, N. (2006). Memantine for dementia. </w:t>
      </w:r>
      <w:r w:rsidRPr="001B4544">
        <w:rPr>
          <w:rFonts w:ascii="Times New Roman" w:eastAsia="Times New Roman" w:hAnsi="Times New Roman" w:cs="Times New Roman"/>
          <w:i/>
          <w:iCs/>
          <w:sz w:val="24"/>
          <w:szCs w:val="24"/>
          <w:lang w:eastAsia="en-IN"/>
        </w:rPr>
        <w:t>Cochrane Database of Systematic Reviews</w:t>
      </w:r>
      <w:r w:rsidRPr="001B4544">
        <w:rPr>
          <w:rFonts w:ascii="Times New Roman" w:eastAsia="Times New Roman" w:hAnsi="Times New Roman" w:cs="Times New Roman"/>
          <w:sz w:val="24"/>
          <w:szCs w:val="24"/>
          <w:lang w:eastAsia="en-IN"/>
        </w:rPr>
        <w:t>, (2), CD003154.</w:t>
      </w:r>
    </w:p>
    <w:p w14:paraId="4B44599B"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Arrese, M., Trauner, M., Sacchiero, R. J., Crossman, M. W., &amp; Shneider, B. L. (1998). Neither intestinal sequestration of bile acids nor common bile duct ligation modulate the expression and function of the rat ileal bile acid transporter. </w:t>
      </w:r>
      <w:r w:rsidRPr="001B4544">
        <w:rPr>
          <w:rFonts w:ascii="Times New Roman" w:eastAsia="Times New Roman" w:hAnsi="Times New Roman" w:cs="Times New Roman"/>
          <w:i/>
          <w:iCs/>
          <w:sz w:val="24"/>
          <w:szCs w:val="24"/>
          <w:lang w:eastAsia="en-IN"/>
        </w:rPr>
        <w:t>Hepatology, 28</w:t>
      </w:r>
      <w:r w:rsidRPr="001B4544">
        <w:rPr>
          <w:rFonts w:ascii="Times New Roman" w:eastAsia="Times New Roman" w:hAnsi="Times New Roman" w:cs="Times New Roman"/>
          <w:sz w:val="24"/>
          <w:szCs w:val="24"/>
          <w:lang w:eastAsia="en-IN"/>
        </w:rPr>
        <w:t>(4), 1081–1087.</w:t>
      </w:r>
    </w:p>
    <w:p w14:paraId="182E6541"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Durá-Travé, T., &amp; Gallinas-Victoriano, F. (2022). Hyper-androgenemia and obesity in early-pubertal girls. </w:t>
      </w:r>
      <w:r w:rsidRPr="001B4544">
        <w:rPr>
          <w:rFonts w:ascii="Times New Roman" w:eastAsia="Times New Roman" w:hAnsi="Times New Roman" w:cs="Times New Roman"/>
          <w:i/>
          <w:iCs/>
          <w:sz w:val="24"/>
          <w:szCs w:val="24"/>
          <w:lang w:eastAsia="en-IN"/>
        </w:rPr>
        <w:t>Journal of Endocrinological Investigation, 45</w:t>
      </w:r>
      <w:r w:rsidRPr="001B4544">
        <w:rPr>
          <w:rFonts w:ascii="Times New Roman" w:eastAsia="Times New Roman" w:hAnsi="Times New Roman" w:cs="Times New Roman"/>
          <w:sz w:val="24"/>
          <w:szCs w:val="24"/>
          <w:lang w:eastAsia="en-IN"/>
        </w:rPr>
        <w:t>(8), 1577–1585.</w:t>
      </w:r>
    </w:p>
    <w:p w14:paraId="46EF2F34"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Vedoya, G. M., López Nigro, M. M., &amp; Martín, G. A. (2021). The secretome of non-tumorigenic mammary cells MCF-10A elicits DNA damage in MCF-7 and MDA-MB-231 breast cancer cells. </w:t>
      </w:r>
      <w:r w:rsidRPr="001B4544">
        <w:rPr>
          <w:rFonts w:ascii="Times New Roman" w:eastAsia="Times New Roman" w:hAnsi="Times New Roman" w:cs="Times New Roman"/>
          <w:i/>
          <w:iCs/>
          <w:sz w:val="24"/>
          <w:szCs w:val="24"/>
          <w:lang w:eastAsia="en-IN"/>
        </w:rPr>
        <w:t>Toxicology in Vitro, 70</w:t>
      </w:r>
      <w:r w:rsidRPr="001B4544">
        <w:rPr>
          <w:rFonts w:ascii="Times New Roman" w:eastAsia="Times New Roman" w:hAnsi="Times New Roman" w:cs="Times New Roman"/>
          <w:sz w:val="24"/>
          <w:szCs w:val="24"/>
          <w:lang w:eastAsia="en-IN"/>
        </w:rPr>
        <w:t>, 105018.</w:t>
      </w:r>
    </w:p>
    <w:p w14:paraId="60F2A765"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Choi, H., Brazeal, M., Duggirala, L., &amp; Lee, J. (2022). Loneliness and depression among adults living on MS Gulf Coast: Individual, interpersonal and community predictors. </w:t>
      </w:r>
      <w:r w:rsidRPr="001B4544">
        <w:rPr>
          <w:rFonts w:ascii="Times New Roman" w:eastAsia="Times New Roman" w:hAnsi="Times New Roman" w:cs="Times New Roman"/>
          <w:i/>
          <w:iCs/>
          <w:sz w:val="24"/>
          <w:szCs w:val="24"/>
          <w:lang w:eastAsia="en-IN"/>
        </w:rPr>
        <w:t>International Journal of Social Psychiatry, 68</w:t>
      </w:r>
      <w:r w:rsidRPr="001B4544">
        <w:rPr>
          <w:rFonts w:ascii="Times New Roman" w:eastAsia="Times New Roman" w:hAnsi="Times New Roman" w:cs="Times New Roman"/>
          <w:sz w:val="24"/>
          <w:szCs w:val="24"/>
          <w:lang w:eastAsia="en-IN"/>
        </w:rPr>
        <w:t>(1), 108–117.</w:t>
      </w:r>
    </w:p>
    <w:p w14:paraId="580CAECC"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val="de-DE" w:eastAsia="en-IN"/>
        </w:rPr>
      </w:pPr>
      <w:r w:rsidRPr="001B4544">
        <w:rPr>
          <w:rFonts w:ascii="Times New Roman" w:eastAsia="Times New Roman" w:hAnsi="Times New Roman" w:cs="Times New Roman"/>
          <w:sz w:val="24"/>
          <w:szCs w:val="24"/>
          <w:lang w:eastAsia="en-IN"/>
        </w:rPr>
        <w:lastRenderedPageBreak/>
        <w:t xml:space="preserve">Huybrechts, K. F., Bateman, B. T., Pawar, A., Bessette, L. G., Mogun, H., Levin, R., et al. (2020). Maternal and fetal outcomes following exposure to duloxetine in pregnancy: Cohort study. </w:t>
      </w:r>
      <w:r w:rsidRPr="001B4544">
        <w:rPr>
          <w:rFonts w:ascii="Times New Roman" w:eastAsia="Times New Roman" w:hAnsi="Times New Roman" w:cs="Times New Roman"/>
          <w:i/>
          <w:iCs/>
          <w:sz w:val="24"/>
          <w:szCs w:val="24"/>
          <w:lang w:val="de-DE" w:eastAsia="en-IN"/>
        </w:rPr>
        <w:t>BMJ, 368</w:t>
      </w:r>
      <w:r w:rsidRPr="001B4544">
        <w:rPr>
          <w:rFonts w:ascii="Times New Roman" w:eastAsia="Times New Roman" w:hAnsi="Times New Roman" w:cs="Times New Roman"/>
          <w:sz w:val="24"/>
          <w:szCs w:val="24"/>
          <w:lang w:val="de-DE" w:eastAsia="en-IN"/>
        </w:rPr>
        <w:t>, m237.</w:t>
      </w:r>
    </w:p>
    <w:p w14:paraId="799AB188"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val="de-DE" w:eastAsia="en-IN"/>
        </w:rPr>
        <w:t xml:space="preserve">Yu, M., Wang, M., Yang, D., Wei, X., &amp; Li, W. (2019). </w:t>
      </w:r>
      <w:r w:rsidRPr="001B4544">
        <w:rPr>
          <w:rFonts w:ascii="Times New Roman" w:eastAsia="Times New Roman" w:hAnsi="Times New Roman" w:cs="Times New Roman"/>
          <w:sz w:val="24"/>
          <w:szCs w:val="24"/>
          <w:lang w:eastAsia="en-IN"/>
        </w:rPr>
        <w:t xml:space="preserve">Dynamics of blood brain barrier permeability and tissue microstructure following controlled cortical impact injury in rat: A dynamic contrast-enhanced magnetic resonance imaging and diffusion kurtosis imaging study. </w:t>
      </w:r>
      <w:r w:rsidRPr="001B4544">
        <w:rPr>
          <w:rFonts w:ascii="Times New Roman" w:eastAsia="Times New Roman" w:hAnsi="Times New Roman" w:cs="Times New Roman"/>
          <w:i/>
          <w:iCs/>
          <w:sz w:val="24"/>
          <w:szCs w:val="24"/>
          <w:lang w:eastAsia="en-IN"/>
        </w:rPr>
        <w:t>Magnetic Resonance Imaging, 62</w:t>
      </w:r>
      <w:r w:rsidRPr="001B4544">
        <w:rPr>
          <w:rFonts w:ascii="Times New Roman" w:eastAsia="Times New Roman" w:hAnsi="Times New Roman" w:cs="Times New Roman"/>
          <w:sz w:val="24"/>
          <w:szCs w:val="24"/>
          <w:lang w:eastAsia="en-IN"/>
        </w:rPr>
        <w:t>, 1–9.</w:t>
      </w:r>
    </w:p>
    <w:p w14:paraId="3E999E0D"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Zhang, Y., Huo, J., &amp; Zheng, X. (2021). Wastewater: China’s next water source. </w:t>
      </w:r>
      <w:r w:rsidRPr="001B4544">
        <w:rPr>
          <w:rFonts w:ascii="Times New Roman" w:eastAsia="Times New Roman" w:hAnsi="Times New Roman" w:cs="Times New Roman"/>
          <w:i/>
          <w:iCs/>
          <w:sz w:val="24"/>
          <w:szCs w:val="24"/>
          <w:lang w:eastAsia="en-IN"/>
        </w:rPr>
        <w:t>Science, 374</w:t>
      </w:r>
      <w:r w:rsidRPr="001B4544">
        <w:rPr>
          <w:rFonts w:ascii="Times New Roman" w:eastAsia="Times New Roman" w:hAnsi="Times New Roman" w:cs="Times New Roman"/>
          <w:sz w:val="24"/>
          <w:szCs w:val="24"/>
          <w:lang w:eastAsia="en-IN"/>
        </w:rPr>
        <w:t>(6573), 1332.</w:t>
      </w:r>
    </w:p>
    <w:p w14:paraId="26512514"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Gilbert, A. T., Wu, X., Jackson, F. R., Franka, R., McCracken, G. F., &amp; Rupprecht, C. E. (2020). Safety, immunogenicity, and efficacy of intramuscular and oral delivery of ERA-G333 recombinant rabies virus vaccine to big brown bats (Eptesicus fuscus). </w:t>
      </w:r>
      <w:r w:rsidRPr="001B4544">
        <w:rPr>
          <w:rFonts w:ascii="Times New Roman" w:eastAsia="Times New Roman" w:hAnsi="Times New Roman" w:cs="Times New Roman"/>
          <w:i/>
          <w:iCs/>
          <w:sz w:val="24"/>
          <w:szCs w:val="24"/>
          <w:lang w:eastAsia="en-IN"/>
        </w:rPr>
        <w:t>Journal of Wildlife Diseases, 56</w:t>
      </w:r>
      <w:r w:rsidRPr="001B4544">
        <w:rPr>
          <w:rFonts w:ascii="Times New Roman" w:eastAsia="Times New Roman" w:hAnsi="Times New Roman" w:cs="Times New Roman"/>
          <w:sz w:val="24"/>
          <w:szCs w:val="24"/>
          <w:lang w:eastAsia="en-IN"/>
        </w:rPr>
        <w:t>(3), 620–630.</w:t>
      </w:r>
    </w:p>
    <w:p w14:paraId="12082744"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Nayab, D., Nasir, M., Memon, J. A., Khalid, M., &amp; Hussain, A. (2020). Estimating the price elasticity for cigarette and chewed tobacco in Pakistan: Evidence from microlevel data. </w:t>
      </w:r>
      <w:r w:rsidRPr="001B4544">
        <w:rPr>
          <w:rFonts w:ascii="Times New Roman" w:eastAsia="Times New Roman" w:hAnsi="Times New Roman" w:cs="Times New Roman"/>
          <w:i/>
          <w:iCs/>
          <w:sz w:val="24"/>
          <w:szCs w:val="24"/>
          <w:lang w:eastAsia="en-IN"/>
        </w:rPr>
        <w:t>Tobacco Control, 29</w:t>
      </w:r>
      <w:r w:rsidRPr="001B4544">
        <w:rPr>
          <w:rFonts w:ascii="Times New Roman" w:eastAsia="Times New Roman" w:hAnsi="Times New Roman" w:cs="Times New Roman"/>
          <w:sz w:val="24"/>
          <w:szCs w:val="24"/>
          <w:lang w:eastAsia="en-IN"/>
        </w:rPr>
        <w:t>(Suppl 5), s319–s325.</w:t>
      </w:r>
    </w:p>
    <w:p w14:paraId="5DD71B9E"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Crawford, A. M., Liu, C. Y., Lange, J. K., &amp; Hershman, S. H. (2022). Is it the back or the hip? Differentiating lumbar spine from hip pathologies: Key points of evaluation and treatment. </w:t>
      </w:r>
      <w:r w:rsidRPr="001B4544">
        <w:rPr>
          <w:rFonts w:ascii="Times New Roman" w:eastAsia="Times New Roman" w:hAnsi="Times New Roman" w:cs="Times New Roman"/>
          <w:i/>
          <w:iCs/>
          <w:sz w:val="24"/>
          <w:szCs w:val="24"/>
          <w:lang w:eastAsia="en-IN"/>
        </w:rPr>
        <w:t>Instructional Course Lectures, 71</w:t>
      </w:r>
      <w:r w:rsidRPr="001B4544">
        <w:rPr>
          <w:rFonts w:ascii="Times New Roman" w:eastAsia="Times New Roman" w:hAnsi="Times New Roman" w:cs="Times New Roman"/>
          <w:sz w:val="24"/>
          <w:szCs w:val="24"/>
          <w:lang w:eastAsia="en-IN"/>
        </w:rPr>
        <w:t>, 387–398.</w:t>
      </w:r>
    </w:p>
    <w:p w14:paraId="204B53EB"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Hu, G. H., Zhao, X. Y., Zuo, Y. X., Chang, Y. J., Suo, P., Wu, J., et al. (2021). Unmanipulated haploidentical hematopoietic stem cell transplantation is an excellent option for children and young adult relapsed/refractory Philadelphia chromosome-negative B-cell acute lymphoblastic leukemia after CAR-T-cell therapy. </w:t>
      </w:r>
      <w:r w:rsidRPr="001B4544">
        <w:rPr>
          <w:rFonts w:ascii="Times New Roman" w:eastAsia="Times New Roman" w:hAnsi="Times New Roman" w:cs="Times New Roman"/>
          <w:i/>
          <w:iCs/>
          <w:sz w:val="24"/>
          <w:szCs w:val="24"/>
          <w:lang w:eastAsia="en-IN"/>
        </w:rPr>
        <w:t>Leukemia, 35</w:t>
      </w:r>
      <w:r w:rsidRPr="001B4544">
        <w:rPr>
          <w:rFonts w:ascii="Times New Roman" w:eastAsia="Times New Roman" w:hAnsi="Times New Roman" w:cs="Times New Roman"/>
          <w:sz w:val="24"/>
          <w:szCs w:val="24"/>
          <w:lang w:eastAsia="en-IN"/>
        </w:rPr>
        <w:t>(11), 3092–3100.</w:t>
      </w:r>
    </w:p>
    <w:p w14:paraId="04DF17D8"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Govindarajan, R., Vijayakumar, M., Singh, M., Rao, C. V., Shirwaikar, A., Rawat, A. K. S., et al. (2006). Antiulcer and antimicrobial activity of Anogeissus latifolia. </w:t>
      </w:r>
      <w:r w:rsidRPr="001B4544">
        <w:rPr>
          <w:rFonts w:ascii="Times New Roman" w:eastAsia="Times New Roman" w:hAnsi="Times New Roman" w:cs="Times New Roman"/>
          <w:i/>
          <w:iCs/>
          <w:sz w:val="24"/>
          <w:szCs w:val="24"/>
          <w:lang w:eastAsia="en-IN"/>
        </w:rPr>
        <w:t>Journal of Ethnopharmacology, 106</w:t>
      </w:r>
      <w:r w:rsidRPr="001B4544">
        <w:rPr>
          <w:rFonts w:ascii="Times New Roman" w:eastAsia="Times New Roman" w:hAnsi="Times New Roman" w:cs="Times New Roman"/>
          <w:sz w:val="24"/>
          <w:szCs w:val="24"/>
          <w:lang w:eastAsia="en-IN"/>
        </w:rPr>
        <w:t>(1), 57–61.</w:t>
      </w:r>
    </w:p>
    <w:p w14:paraId="7DA27928"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val="fi-FI" w:eastAsia="en-IN"/>
        </w:rPr>
        <w:t xml:space="preserve">Janahmadi, M., Niazi, F., Danyali, S., &amp; Kamalinejad, M. (2006). </w:t>
      </w:r>
      <w:r w:rsidRPr="001B4544">
        <w:rPr>
          <w:rFonts w:ascii="Times New Roman" w:eastAsia="Times New Roman" w:hAnsi="Times New Roman" w:cs="Times New Roman"/>
          <w:sz w:val="24"/>
          <w:szCs w:val="24"/>
          <w:lang w:eastAsia="en-IN"/>
        </w:rPr>
        <w:t xml:space="preserve">Effects of the fruit essential oil of Cuminum cyminum Linn. (Apiaceae) on pentylenetetrazol-induced epileptiform activity in F1 neurones of Helix aspersa. </w:t>
      </w:r>
      <w:r w:rsidRPr="001B4544">
        <w:rPr>
          <w:rFonts w:ascii="Times New Roman" w:eastAsia="Times New Roman" w:hAnsi="Times New Roman" w:cs="Times New Roman"/>
          <w:i/>
          <w:iCs/>
          <w:sz w:val="24"/>
          <w:szCs w:val="24"/>
          <w:lang w:eastAsia="en-IN"/>
        </w:rPr>
        <w:t>Journal of Ethnopharmacology, 104</w:t>
      </w:r>
      <w:r w:rsidRPr="001B4544">
        <w:rPr>
          <w:rFonts w:ascii="Times New Roman" w:eastAsia="Times New Roman" w:hAnsi="Times New Roman" w:cs="Times New Roman"/>
          <w:sz w:val="24"/>
          <w:szCs w:val="24"/>
          <w:lang w:eastAsia="en-IN"/>
        </w:rPr>
        <w:t>(1–2), 278–282.</w:t>
      </w:r>
    </w:p>
    <w:p w14:paraId="5D0EDC81"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Rall, J., &amp; Harris, P. L. (2000). In Cinderella’s slippers? Story comprehension from the protagonist’s point of view. </w:t>
      </w:r>
      <w:r w:rsidRPr="001B4544">
        <w:rPr>
          <w:rFonts w:ascii="Times New Roman" w:eastAsia="Times New Roman" w:hAnsi="Times New Roman" w:cs="Times New Roman"/>
          <w:i/>
          <w:iCs/>
          <w:sz w:val="24"/>
          <w:szCs w:val="24"/>
          <w:lang w:eastAsia="en-IN"/>
        </w:rPr>
        <w:t>Developmental Psychology, 36</w:t>
      </w:r>
      <w:r w:rsidRPr="001B4544">
        <w:rPr>
          <w:rFonts w:ascii="Times New Roman" w:eastAsia="Times New Roman" w:hAnsi="Times New Roman" w:cs="Times New Roman"/>
          <w:sz w:val="24"/>
          <w:szCs w:val="24"/>
          <w:lang w:eastAsia="en-IN"/>
        </w:rPr>
        <w:t>(2), 202–208.</w:t>
      </w:r>
    </w:p>
    <w:p w14:paraId="1E2E2D23"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lastRenderedPageBreak/>
        <w:t xml:space="preserve">Sahu, D., Rathor, L. S., Singh, M. R., &amp; Singh, D. (2025). Exploration of some medicinal plants for peptic ulcer disease: In-silico approach for wound management. </w:t>
      </w:r>
      <w:r w:rsidRPr="001B4544">
        <w:rPr>
          <w:rFonts w:ascii="Times New Roman" w:eastAsia="Times New Roman" w:hAnsi="Times New Roman" w:cs="Times New Roman"/>
          <w:i/>
          <w:iCs/>
          <w:sz w:val="24"/>
          <w:szCs w:val="24"/>
          <w:lang w:eastAsia="en-IN"/>
        </w:rPr>
        <w:t>In Silico Research in Biomedicine, 1</w:t>
      </w:r>
      <w:r w:rsidRPr="001B4544">
        <w:rPr>
          <w:rFonts w:ascii="Times New Roman" w:eastAsia="Times New Roman" w:hAnsi="Times New Roman" w:cs="Times New Roman"/>
          <w:sz w:val="24"/>
          <w:szCs w:val="24"/>
          <w:lang w:eastAsia="en-IN"/>
        </w:rPr>
        <w:t>, 100027.</w:t>
      </w:r>
    </w:p>
    <w:p w14:paraId="6C865D3F"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val="de-DE" w:eastAsia="en-IN"/>
        </w:rPr>
      </w:pPr>
      <w:r w:rsidRPr="001B4544">
        <w:rPr>
          <w:rFonts w:ascii="Times New Roman" w:eastAsia="Times New Roman" w:hAnsi="Times New Roman" w:cs="Times New Roman"/>
          <w:sz w:val="24"/>
          <w:szCs w:val="24"/>
          <w:lang w:eastAsia="en-IN"/>
        </w:rPr>
        <w:t xml:space="preserve">Begg, M., Tarhuni, M., N Fotso, M., Gonzalez, N. A., Sanivarapu, R. R., Osman, U., et al. (2023). Comparing the safety and efficacy of proton pump inhibitors and histamine-2 receptor antagonists in the management of patients with peptic ulcer disease: A systematic review. </w:t>
      </w:r>
      <w:r w:rsidRPr="001B4544">
        <w:rPr>
          <w:rFonts w:ascii="Times New Roman" w:eastAsia="Times New Roman" w:hAnsi="Times New Roman" w:cs="Times New Roman"/>
          <w:i/>
          <w:iCs/>
          <w:sz w:val="24"/>
          <w:szCs w:val="24"/>
          <w:lang w:val="de-DE" w:eastAsia="en-IN"/>
        </w:rPr>
        <w:t>Cureus, 15</w:t>
      </w:r>
      <w:r w:rsidRPr="001B4544">
        <w:rPr>
          <w:rFonts w:ascii="Times New Roman" w:eastAsia="Times New Roman" w:hAnsi="Times New Roman" w:cs="Times New Roman"/>
          <w:sz w:val="24"/>
          <w:szCs w:val="24"/>
          <w:lang w:val="de-DE" w:eastAsia="en-IN"/>
        </w:rPr>
        <w:t>(8), e44341.</w:t>
      </w:r>
    </w:p>
    <w:p w14:paraId="79B4294D"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val="de-DE" w:eastAsia="en-IN"/>
        </w:rPr>
        <w:t xml:space="preserve">Kohale, S. P., Kubde, J. A., Hatwar, P. R., Bakal, R. L., &amp; Sapkal, R. N. (2025). </w:t>
      </w:r>
      <w:r w:rsidRPr="001B4544">
        <w:rPr>
          <w:rFonts w:ascii="Times New Roman" w:eastAsia="Times New Roman" w:hAnsi="Times New Roman" w:cs="Times New Roman"/>
          <w:sz w:val="24"/>
          <w:szCs w:val="24"/>
          <w:lang w:eastAsia="en-IN"/>
        </w:rPr>
        <w:t xml:space="preserve">Medicinal plants with anti-ulcer properties: A review. </w:t>
      </w:r>
      <w:r w:rsidRPr="001B4544">
        <w:rPr>
          <w:rFonts w:ascii="Times New Roman" w:eastAsia="Times New Roman" w:hAnsi="Times New Roman" w:cs="Times New Roman"/>
          <w:i/>
          <w:iCs/>
          <w:sz w:val="24"/>
          <w:szCs w:val="24"/>
          <w:lang w:eastAsia="en-IN"/>
        </w:rPr>
        <w:t>International Journal of Herbal Medicine, 13</w:t>
      </w:r>
      <w:r w:rsidRPr="001B4544">
        <w:rPr>
          <w:rFonts w:ascii="Times New Roman" w:eastAsia="Times New Roman" w:hAnsi="Times New Roman" w:cs="Times New Roman"/>
          <w:sz w:val="24"/>
          <w:szCs w:val="24"/>
          <w:lang w:eastAsia="en-IN"/>
        </w:rPr>
        <w:t>(4), 124–130.</w:t>
      </w:r>
    </w:p>
    <w:p w14:paraId="0FA17313"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Kuna, L., Jakab, J., Smolic, R., Raguz-Lucic, N., Vcev, A., &amp; Smolic, M. (2019). Peptic ulcer disease: A brief review of conventional therapy and herbal treatment options. </w:t>
      </w:r>
      <w:r w:rsidRPr="001B4544">
        <w:rPr>
          <w:rFonts w:ascii="Times New Roman" w:eastAsia="Times New Roman" w:hAnsi="Times New Roman" w:cs="Times New Roman"/>
          <w:i/>
          <w:iCs/>
          <w:sz w:val="24"/>
          <w:szCs w:val="24"/>
          <w:lang w:eastAsia="en-IN"/>
        </w:rPr>
        <w:t>Journal of Clinical Medicine, 8</w:t>
      </w:r>
      <w:r w:rsidRPr="001B4544">
        <w:rPr>
          <w:rFonts w:ascii="Times New Roman" w:eastAsia="Times New Roman" w:hAnsi="Times New Roman" w:cs="Times New Roman"/>
          <w:sz w:val="24"/>
          <w:szCs w:val="24"/>
          <w:lang w:eastAsia="en-IN"/>
        </w:rPr>
        <w:t>(2), 179.</w:t>
      </w:r>
    </w:p>
    <w:p w14:paraId="3FC85C5F"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Sahu, D., Rathor, L. S., Singh, M. R., &amp; Singh, D. (2025). Exploration of some medicinal plants for peptic ulcer disease: In-silico approach for wound management. </w:t>
      </w:r>
      <w:r w:rsidRPr="001B4544">
        <w:rPr>
          <w:rFonts w:ascii="Times New Roman" w:eastAsia="Times New Roman" w:hAnsi="Times New Roman" w:cs="Times New Roman"/>
          <w:i/>
          <w:iCs/>
          <w:sz w:val="24"/>
          <w:szCs w:val="24"/>
          <w:lang w:eastAsia="en-IN"/>
        </w:rPr>
        <w:t>In Silico Research in Biomedicine, 1</w:t>
      </w:r>
      <w:r w:rsidRPr="001B4544">
        <w:rPr>
          <w:rFonts w:ascii="Times New Roman" w:eastAsia="Times New Roman" w:hAnsi="Times New Roman" w:cs="Times New Roman"/>
          <w:sz w:val="24"/>
          <w:szCs w:val="24"/>
          <w:lang w:eastAsia="en-IN"/>
        </w:rPr>
        <w:t>, 100027.</w:t>
      </w:r>
    </w:p>
    <w:p w14:paraId="048C7265"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Valdovinos-García, L. R., Villar-Chávez, A. S., Huerta-Iga, F. M., Amieva-Balmori, M., Arenas-Martínez, J. S., Bernal-Reyes, R., et al. (2025). Good clinical practice recommendations for proton pump inhibitor prescription and deprescription. A review by experts from the AMG. </w:t>
      </w:r>
      <w:r w:rsidRPr="001B4544">
        <w:rPr>
          <w:rFonts w:ascii="Times New Roman" w:eastAsia="Times New Roman" w:hAnsi="Times New Roman" w:cs="Times New Roman"/>
          <w:i/>
          <w:iCs/>
          <w:sz w:val="24"/>
          <w:szCs w:val="24"/>
          <w:lang w:eastAsia="en-IN"/>
        </w:rPr>
        <w:t>Revista de Gastroenterología de México (English Edition), 90</w:t>
      </w:r>
      <w:r w:rsidRPr="001B4544">
        <w:rPr>
          <w:rFonts w:ascii="Times New Roman" w:eastAsia="Times New Roman" w:hAnsi="Times New Roman" w:cs="Times New Roman"/>
          <w:sz w:val="24"/>
          <w:szCs w:val="24"/>
          <w:lang w:eastAsia="en-IN"/>
        </w:rPr>
        <w:t>(1), 111–130.</w:t>
      </w:r>
    </w:p>
    <w:p w14:paraId="1B0D43EB"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Sahu, D., Rathor, L. S., Singh, M. R., &amp; Singh, D. (2025). Exploration of some medicinal plants for peptic ulcer disease: In-silico approach for wound management. </w:t>
      </w:r>
      <w:r w:rsidRPr="001B4544">
        <w:rPr>
          <w:rFonts w:ascii="Times New Roman" w:eastAsia="Times New Roman" w:hAnsi="Times New Roman" w:cs="Times New Roman"/>
          <w:i/>
          <w:iCs/>
          <w:sz w:val="24"/>
          <w:szCs w:val="24"/>
          <w:lang w:eastAsia="en-IN"/>
        </w:rPr>
        <w:t>In Silico Research in Biomedicine, 1</w:t>
      </w:r>
      <w:r w:rsidRPr="001B4544">
        <w:rPr>
          <w:rFonts w:ascii="Times New Roman" w:eastAsia="Times New Roman" w:hAnsi="Times New Roman" w:cs="Times New Roman"/>
          <w:sz w:val="24"/>
          <w:szCs w:val="24"/>
          <w:lang w:eastAsia="en-IN"/>
        </w:rPr>
        <w:t>, 100027.</w:t>
      </w:r>
    </w:p>
    <w:p w14:paraId="66F33CD3"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Mir, A. A., Wani, Z. A., Bhat, A. R., Fahelelbom, K. M., Kumar, A., &amp; Ahmed, S. (2024). Widening spectrum of adverse effects caused by long-term use of proton pump inhibitors: A comprehensive review of literature. </w:t>
      </w:r>
      <w:r w:rsidRPr="001B4544">
        <w:rPr>
          <w:rFonts w:ascii="Times New Roman" w:eastAsia="Times New Roman" w:hAnsi="Times New Roman" w:cs="Times New Roman"/>
          <w:i/>
          <w:iCs/>
          <w:sz w:val="24"/>
          <w:szCs w:val="24"/>
          <w:lang w:eastAsia="en-IN"/>
        </w:rPr>
        <w:t>Laboratory Medicine and Discovery, 1</w:t>
      </w:r>
      <w:r w:rsidRPr="001B4544">
        <w:rPr>
          <w:rFonts w:ascii="Times New Roman" w:eastAsia="Times New Roman" w:hAnsi="Times New Roman" w:cs="Times New Roman"/>
          <w:sz w:val="24"/>
          <w:szCs w:val="24"/>
          <w:lang w:eastAsia="en-IN"/>
        </w:rPr>
        <w:t>(2), 100027.</w:t>
      </w:r>
    </w:p>
    <w:p w14:paraId="1C715C2C"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Kohale, S. P., Kubde, J. A., Hatwar, P. R., Bakal, R. L., &amp; Sapkal, R. N. (2025). Medicinal plants with anti-ulcer properties: A review. </w:t>
      </w:r>
      <w:r w:rsidRPr="001B4544">
        <w:rPr>
          <w:rFonts w:ascii="Times New Roman" w:eastAsia="Times New Roman" w:hAnsi="Times New Roman" w:cs="Times New Roman"/>
          <w:i/>
          <w:iCs/>
          <w:sz w:val="24"/>
          <w:szCs w:val="24"/>
          <w:lang w:eastAsia="en-IN"/>
        </w:rPr>
        <w:t>International Journal of Herbal Medicine, 13</w:t>
      </w:r>
      <w:r w:rsidRPr="001B4544">
        <w:rPr>
          <w:rFonts w:ascii="Times New Roman" w:eastAsia="Times New Roman" w:hAnsi="Times New Roman" w:cs="Times New Roman"/>
          <w:sz w:val="24"/>
          <w:szCs w:val="24"/>
          <w:lang w:eastAsia="en-IN"/>
        </w:rPr>
        <w:t>(4), 124–130.</w:t>
      </w:r>
    </w:p>
    <w:p w14:paraId="43E9BE94"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Valdovinos-García, L. R., Villar-Chávez, A. S., Huerta-Iga, F. M., Amieva-Balmori, M., Arenas-Martínez, J. S., Bernal-Reyes, R., et al. (2025). Good clinical practice recommendations for proton pump inhibitor prescription and deprescription. A review by </w:t>
      </w:r>
      <w:r w:rsidRPr="001B4544">
        <w:rPr>
          <w:rFonts w:ascii="Times New Roman" w:eastAsia="Times New Roman" w:hAnsi="Times New Roman" w:cs="Times New Roman"/>
          <w:sz w:val="24"/>
          <w:szCs w:val="24"/>
          <w:lang w:eastAsia="en-IN"/>
        </w:rPr>
        <w:lastRenderedPageBreak/>
        <w:t xml:space="preserve">experts from the AMG. </w:t>
      </w:r>
      <w:r w:rsidRPr="001B4544">
        <w:rPr>
          <w:rFonts w:ascii="Times New Roman" w:eastAsia="Times New Roman" w:hAnsi="Times New Roman" w:cs="Times New Roman"/>
          <w:i/>
          <w:iCs/>
          <w:sz w:val="24"/>
          <w:szCs w:val="24"/>
          <w:lang w:eastAsia="en-IN"/>
        </w:rPr>
        <w:t>Revista de Gastroenterología de México (English Edition), 90</w:t>
      </w:r>
      <w:r w:rsidRPr="001B4544">
        <w:rPr>
          <w:rFonts w:ascii="Times New Roman" w:eastAsia="Times New Roman" w:hAnsi="Times New Roman" w:cs="Times New Roman"/>
          <w:sz w:val="24"/>
          <w:szCs w:val="24"/>
          <w:lang w:eastAsia="en-IN"/>
        </w:rPr>
        <w:t>(1), 111–130.</w:t>
      </w:r>
    </w:p>
    <w:p w14:paraId="79410F40"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Brito, S. A., De Almeida, C. L. F., De Santana, T. I., Da Silva Oliveira, A. R., Do Nascimento Figueiredo, J. C. B., Souza, I. T., et al. (2018). Antiulcer activity and potential mechanism of action of the leaves of Spondias mombin L. (L. J. Yan, Ed.). </w:t>
      </w:r>
      <w:r w:rsidRPr="001B4544">
        <w:rPr>
          <w:rFonts w:ascii="Times New Roman" w:eastAsia="Times New Roman" w:hAnsi="Times New Roman" w:cs="Times New Roman"/>
          <w:i/>
          <w:iCs/>
          <w:sz w:val="24"/>
          <w:szCs w:val="24"/>
          <w:lang w:eastAsia="en-IN"/>
        </w:rPr>
        <w:t>Oxidative Medicine and Cellular Longevity, 2018</w:t>
      </w:r>
      <w:r w:rsidRPr="001B4544">
        <w:rPr>
          <w:rFonts w:ascii="Times New Roman" w:eastAsia="Times New Roman" w:hAnsi="Times New Roman" w:cs="Times New Roman"/>
          <w:sz w:val="24"/>
          <w:szCs w:val="24"/>
          <w:lang w:eastAsia="en-IN"/>
        </w:rPr>
        <w:t>(1), 1731459.</w:t>
      </w:r>
    </w:p>
    <w:p w14:paraId="4FF30222"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Salman, M., Ahmed, R., Misbah, U., Ahmad, S., &amp; Qazi, A. (2025). Comparative study of proton pump inhibitors versus H2 blockers in peptic ulcer disease management. </w:t>
      </w:r>
      <w:r w:rsidRPr="001B4544">
        <w:rPr>
          <w:rFonts w:ascii="Times New Roman" w:eastAsia="Times New Roman" w:hAnsi="Times New Roman" w:cs="Times New Roman"/>
          <w:i/>
          <w:iCs/>
          <w:sz w:val="24"/>
          <w:szCs w:val="24"/>
          <w:lang w:eastAsia="en-IN"/>
        </w:rPr>
        <w:t>Innovative Research in Applied Biological and Chemical Sciences, 3</w:t>
      </w:r>
      <w:r w:rsidRPr="001B4544">
        <w:rPr>
          <w:rFonts w:ascii="Times New Roman" w:eastAsia="Times New Roman" w:hAnsi="Times New Roman" w:cs="Times New Roman"/>
          <w:sz w:val="24"/>
          <w:szCs w:val="24"/>
          <w:lang w:eastAsia="en-IN"/>
        </w:rPr>
        <w:t>(1), 22–28.</w:t>
      </w:r>
    </w:p>
    <w:p w14:paraId="38A5C42B"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val="sv-SE" w:eastAsia="en-IN"/>
        </w:rPr>
        <w:t xml:space="preserve">Prayoga, D. K., Aulifa, D. L., Budiman, A., &amp; Levita, J. (2024). </w:t>
      </w:r>
      <w:r w:rsidRPr="001B4544">
        <w:rPr>
          <w:rFonts w:ascii="Times New Roman" w:eastAsia="Times New Roman" w:hAnsi="Times New Roman" w:cs="Times New Roman"/>
          <w:sz w:val="24"/>
          <w:szCs w:val="24"/>
          <w:lang w:eastAsia="en-IN"/>
        </w:rPr>
        <w:t xml:space="preserve">Plants with anti-ulcer activity and mechanism: A review of preclinical and clinical studies. </w:t>
      </w:r>
      <w:r w:rsidRPr="001B4544">
        <w:rPr>
          <w:rFonts w:ascii="Times New Roman" w:eastAsia="Times New Roman" w:hAnsi="Times New Roman" w:cs="Times New Roman"/>
          <w:i/>
          <w:iCs/>
          <w:sz w:val="24"/>
          <w:szCs w:val="24"/>
          <w:lang w:eastAsia="en-IN"/>
        </w:rPr>
        <w:t>Drug Design, Development and Therapy, 18</w:t>
      </w:r>
      <w:r w:rsidRPr="001B4544">
        <w:rPr>
          <w:rFonts w:ascii="Times New Roman" w:eastAsia="Times New Roman" w:hAnsi="Times New Roman" w:cs="Times New Roman"/>
          <w:sz w:val="24"/>
          <w:szCs w:val="24"/>
          <w:lang w:eastAsia="en-IN"/>
        </w:rPr>
        <w:t>, 193–213.</w:t>
      </w:r>
    </w:p>
    <w:p w14:paraId="4A637C17"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Kuna, L., Jakab, J., Smolic, R., Raguz-Lucic, N., Vcev, A., &amp; Smolic, M. (2019). Peptic ulcer disease: A brief review of conventional therapy and herbal treatment options. </w:t>
      </w:r>
      <w:r w:rsidRPr="001B4544">
        <w:rPr>
          <w:rFonts w:ascii="Times New Roman" w:eastAsia="Times New Roman" w:hAnsi="Times New Roman" w:cs="Times New Roman"/>
          <w:i/>
          <w:iCs/>
          <w:sz w:val="24"/>
          <w:szCs w:val="24"/>
          <w:lang w:eastAsia="en-IN"/>
        </w:rPr>
        <w:t>Journal of Clinical Medicine, 8</w:t>
      </w:r>
      <w:r w:rsidRPr="001B4544">
        <w:rPr>
          <w:rFonts w:ascii="Times New Roman" w:eastAsia="Times New Roman" w:hAnsi="Times New Roman" w:cs="Times New Roman"/>
          <w:sz w:val="24"/>
          <w:szCs w:val="24"/>
          <w:lang w:eastAsia="en-IN"/>
        </w:rPr>
        <w:t>(2), 179.</w:t>
      </w:r>
    </w:p>
    <w:p w14:paraId="659C495B"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val="fi-FI" w:eastAsia="en-IN"/>
        </w:rPr>
        <w:t xml:space="preserve">Kiran, D., Rohilla, A., &amp; Kalra, N. (2023). </w:t>
      </w:r>
      <w:r w:rsidRPr="001B4544">
        <w:rPr>
          <w:rFonts w:ascii="Times New Roman" w:eastAsia="Times New Roman" w:hAnsi="Times New Roman" w:cs="Times New Roman"/>
          <w:sz w:val="24"/>
          <w:szCs w:val="24"/>
          <w:lang w:eastAsia="en-IN"/>
        </w:rPr>
        <w:t xml:space="preserve">A review on conventional and herbal drug approach to peptic ulcer. </w:t>
      </w:r>
      <w:r w:rsidRPr="001B4544">
        <w:rPr>
          <w:rFonts w:ascii="Times New Roman" w:eastAsia="Times New Roman" w:hAnsi="Times New Roman" w:cs="Times New Roman"/>
          <w:i/>
          <w:iCs/>
          <w:sz w:val="24"/>
          <w:szCs w:val="24"/>
          <w:lang w:eastAsia="en-IN"/>
        </w:rPr>
        <w:t>Gastroenterology and Hepatology Research, 5</w:t>
      </w:r>
      <w:r w:rsidRPr="001B4544">
        <w:rPr>
          <w:rFonts w:ascii="Times New Roman" w:eastAsia="Times New Roman" w:hAnsi="Times New Roman" w:cs="Times New Roman"/>
          <w:sz w:val="24"/>
          <w:szCs w:val="24"/>
          <w:lang w:eastAsia="en-IN"/>
        </w:rPr>
        <w:t>(2), 10.</w:t>
      </w:r>
    </w:p>
    <w:p w14:paraId="37B72171"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Kuna, L., Jakab, J., Smolic, R., Raguz-Lucic, N., Vcev, A., &amp; Smolic, M. (2019). Peptic ulcer disease: A brief review of conventional therapy and herbal treatment options. </w:t>
      </w:r>
      <w:r w:rsidRPr="001B4544">
        <w:rPr>
          <w:rFonts w:ascii="Times New Roman" w:eastAsia="Times New Roman" w:hAnsi="Times New Roman" w:cs="Times New Roman"/>
          <w:i/>
          <w:iCs/>
          <w:sz w:val="24"/>
          <w:szCs w:val="24"/>
          <w:lang w:eastAsia="en-IN"/>
        </w:rPr>
        <w:t>Journal of Clinical Medicine, 8</w:t>
      </w:r>
      <w:r w:rsidRPr="001B4544">
        <w:rPr>
          <w:rFonts w:ascii="Times New Roman" w:eastAsia="Times New Roman" w:hAnsi="Times New Roman" w:cs="Times New Roman"/>
          <w:sz w:val="24"/>
          <w:szCs w:val="24"/>
          <w:lang w:eastAsia="en-IN"/>
        </w:rPr>
        <w:t>(2), 179.</w:t>
      </w:r>
    </w:p>
    <w:p w14:paraId="078ACFC9" w14:textId="77777777" w:rsidR="00F05C95" w:rsidRPr="001B4544" w:rsidRDefault="00F05C95" w:rsidP="001B4544">
      <w:pPr>
        <w:pStyle w:val="ListParagraph"/>
        <w:numPr>
          <w:ilvl w:val="0"/>
          <w:numId w:val="22"/>
        </w:numPr>
        <w:rPr>
          <w:rFonts w:ascii="Times New Roman" w:eastAsia="Times New Roman" w:hAnsi="Times New Roman" w:cs="Times New Roman"/>
          <w:sz w:val="24"/>
          <w:szCs w:val="24"/>
          <w:lang w:eastAsia="en-IN"/>
        </w:rPr>
      </w:pPr>
      <w:r w:rsidRPr="001B4544">
        <w:rPr>
          <w:rFonts w:ascii="Times New Roman" w:eastAsia="Times New Roman" w:hAnsi="Times New Roman" w:cs="Times New Roman"/>
          <w:sz w:val="24"/>
          <w:szCs w:val="24"/>
          <w:lang w:eastAsia="en-IN"/>
        </w:rPr>
        <w:t xml:space="preserve">Büning, C., Schmidt, H. H. J., Molnar, T., De Jong, D. J., Fiedler, T., Bühner, S., et al. (2007). Heterozygosity for IL23R p.Arg381Gln confers a protective effect not only against Crohn’s disease but also ulcerative colitis. </w:t>
      </w:r>
      <w:r w:rsidRPr="001B4544">
        <w:rPr>
          <w:rFonts w:ascii="Times New Roman" w:eastAsia="Times New Roman" w:hAnsi="Times New Roman" w:cs="Times New Roman"/>
          <w:i/>
          <w:iCs/>
          <w:sz w:val="24"/>
          <w:szCs w:val="24"/>
          <w:lang w:eastAsia="en-IN"/>
        </w:rPr>
        <w:t>Alimentary Pharmacology &amp; Therapeutics, 26</w:t>
      </w:r>
      <w:r w:rsidRPr="001B4544">
        <w:rPr>
          <w:rFonts w:ascii="Times New Roman" w:eastAsia="Times New Roman" w:hAnsi="Times New Roman" w:cs="Times New Roman"/>
          <w:sz w:val="24"/>
          <w:szCs w:val="24"/>
          <w:lang w:eastAsia="en-IN"/>
        </w:rPr>
        <w:t>(7), 1025–1033.</w:t>
      </w:r>
    </w:p>
    <w:bookmarkEnd w:id="0"/>
    <w:p w14:paraId="797C26E1" w14:textId="77777777" w:rsidR="0032144D" w:rsidRDefault="0032144D" w:rsidP="00EF4F13">
      <w:pPr>
        <w:contextualSpacing/>
        <w:outlineLvl w:val="0"/>
        <w:rPr>
          <w:rFonts w:ascii="Times New Roman" w:hAnsi="Times New Roman" w:cs="Times New Roman"/>
          <w:bCs/>
          <w:sz w:val="28"/>
          <w:szCs w:val="24"/>
        </w:rPr>
      </w:pPr>
    </w:p>
    <w:p w14:paraId="2AEC7B9A" w14:textId="77777777" w:rsidR="0032144D" w:rsidRDefault="0032144D" w:rsidP="00EF4F13">
      <w:pPr>
        <w:contextualSpacing/>
        <w:outlineLvl w:val="0"/>
        <w:rPr>
          <w:rFonts w:ascii="Times New Roman" w:hAnsi="Times New Roman" w:cs="Times New Roman"/>
          <w:bCs/>
          <w:sz w:val="28"/>
          <w:szCs w:val="24"/>
        </w:rPr>
      </w:pPr>
    </w:p>
    <w:p w14:paraId="4D4E9225" w14:textId="77777777" w:rsidR="00E44857" w:rsidRPr="00902ACC" w:rsidRDefault="00A168D2" w:rsidP="00E44857">
      <w:pPr>
        <w:pStyle w:val="NormalWeb"/>
        <w:shd w:val="clear" w:color="auto" w:fill="FFFFFF"/>
        <w:spacing w:before="0" w:beforeAutospacing="0" w:after="0" w:afterAutospacing="0" w:line="360" w:lineRule="auto"/>
        <w:jc w:val="right"/>
        <w:textAlignment w:val="baseline"/>
        <w:rPr>
          <w:sz w:val="6"/>
        </w:rPr>
      </w:pPr>
      <w:r w:rsidRPr="00F946D2">
        <w:rPr>
          <w:noProof/>
          <w:lang w:bidi="gu-IN"/>
        </w:rPr>
        <w:drawing>
          <wp:anchor distT="0" distB="0" distL="114300" distR="114300" simplePos="0" relativeHeight="251658752" behindDoc="0" locked="0" layoutInCell="1" allowOverlap="1" wp14:anchorId="151DD931" wp14:editId="3521DCC2">
            <wp:simplePos x="0" y="0"/>
            <wp:positionH relativeFrom="column">
              <wp:posOffset>4796155</wp:posOffset>
            </wp:positionH>
            <wp:positionV relativeFrom="paragraph">
              <wp:posOffset>328295</wp:posOffset>
            </wp:positionV>
            <wp:extent cx="955040" cy="851535"/>
            <wp:effectExtent l="19050" t="0" r="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955040" cy="851535"/>
                    </a:xfrm>
                    <a:prstGeom prst="rect">
                      <a:avLst/>
                    </a:prstGeom>
                    <a:solidFill>
                      <a:srgbClr val="000000"/>
                    </a:solidFill>
                  </pic:spPr>
                </pic:pic>
              </a:graphicData>
            </a:graphic>
          </wp:anchor>
        </w:drawing>
      </w:r>
      <w:r w:rsidR="00401159">
        <w:rPr>
          <w:noProof/>
          <w:lang w:bidi="gu-IN"/>
        </w:rPr>
        <mc:AlternateContent>
          <mc:Choice Requires="wps">
            <w:drawing>
              <wp:inline distT="0" distB="0" distL="0" distR="0" wp14:anchorId="6F1EBB8A" wp14:editId="090D9EC3">
                <wp:extent cx="3990975" cy="1364615"/>
                <wp:effectExtent l="0" t="0" r="28575" b="26035"/>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1364615"/>
                        </a:xfrm>
                        <a:prstGeom prst="roundRect">
                          <a:avLst>
                            <a:gd name="adj" fmla="val 16667"/>
                          </a:avLst>
                        </a:prstGeom>
                        <a:solidFill>
                          <a:srgbClr val="FFFFFF"/>
                        </a:solidFill>
                        <a:ln w="9525">
                          <a:solidFill>
                            <a:srgbClr val="000000"/>
                          </a:solidFill>
                          <a:round/>
                          <a:headEnd/>
                          <a:tailEnd/>
                        </a:ln>
                      </wps:spPr>
                      <wps:txbx>
                        <w:txbxContent>
                          <w:p w14:paraId="5EECAEB5" w14:textId="77777777" w:rsidR="00190035" w:rsidRDefault="00190035" w:rsidP="00A168D2">
                            <w:pPr>
                              <w:autoSpaceDE w:val="0"/>
                              <w:autoSpaceDN w:val="0"/>
                              <w:adjustRightInd w:val="0"/>
                              <w:rPr>
                                <w:rFonts w:ascii="Times New Roman" w:hAnsi="Times New Roman" w:cs="Times New Roman"/>
                                <w:b/>
                                <w:bCs/>
                                <w:color w:val="000000"/>
                                <w:sz w:val="24"/>
                                <w:szCs w:val="20"/>
                              </w:rPr>
                            </w:pPr>
                            <w:r>
                              <w:rPr>
                                <w:rFonts w:ascii="Times New Roman" w:hAnsi="Times New Roman" w:cs="Times New Roman"/>
                                <w:b/>
                                <w:bCs/>
                                <w:i/>
                                <w:color w:val="C00000"/>
                                <w:sz w:val="24"/>
                                <w:szCs w:val="20"/>
                              </w:rPr>
                              <w:tab/>
                            </w:r>
                            <w:r>
                              <w:rPr>
                                <w:rFonts w:ascii="Times New Roman" w:hAnsi="Times New Roman" w:cs="Times New Roman"/>
                                <w:b/>
                                <w:bCs/>
                                <w:i/>
                                <w:color w:val="C00000"/>
                                <w:sz w:val="24"/>
                                <w:szCs w:val="20"/>
                              </w:rPr>
                              <w:tab/>
                              <w:t>AJPTR is</w:t>
                            </w:r>
                          </w:p>
                          <w:p w14:paraId="38F74D7D" w14:textId="77777777" w:rsidR="00190035" w:rsidRDefault="00190035" w:rsidP="00310BC0">
                            <w:pPr>
                              <w:pStyle w:val="ListParagraph"/>
                              <w:numPr>
                                <w:ilvl w:val="0"/>
                                <w:numId w:val="3"/>
                              </w:numPr>
                              <w:autoSpaceDE w:val="0"/>
                              <w:autoSpaceDN w:val="0"/>
                              <w:adjustRightInd w:val="0"/>
                              <w:jc w:val="right"/>
                              <w:rPr>
                                <w:rFonts w:ascii="Times New Roman" w:hAnsi="Times New Roman" w:cs="Times New Roman"/>
                                <w:b/>
                                <w:bCs/>
                                <w:color w:val="7030A0"/>
                                <w:sz w:val="20"/>
                                <w:szCs w:val="20"/>
                              </w:rPr>
                            </w:pPr>
                            <w:r>
                              <w:rPr>
                                <w:rFonts w:ascii="Times New Roman" w:hAnsi="Times New Roman" w:cs="Times New Roman"/>
                                <w:b/>
                                <w:bCs/>
                                <w:color w:val="7030A0"/>
                                <w:sz w:val="20"/>
                                <w:szCs w:val="20"/>
                              </w:rPr>
                              <w:t>Peer-reviewed</w:t>
                            </w:r>
                            <w:r>
                              <w:rPr>
                                <w:rFonts w:ascii="Times New Roman" w:hAnsi="Times New Roman" w:cs="Times New Roman"/>
                                <w:b/>
                                <w:bCs/>
                                <w:color w:val="7030A0"/>
                                <w:sz w:val="20"/>
                                <w:szCs w:val="20"/>
                              </w:rPr>
                              <w:tab/>
                            </w:r>
                            <w:r>
                              <w:rPr>
                                <w:rFonts w:ascii="Times New Roman" w:hAnsi="Times New Roman" w:cs="Times New Roman"/>
                                <w:b/>
                                <w:bCs/>
                                <w:color w:val="7030A0"/>
                                <w:sz w:val="20"/>
                                <w:szCs w:val="20"/>
                              </w:rPr>
                              <w:tab/>
                            </w:r>
                            <w:r>
                              <w:rPr>
                                <w:rFonts w:ascii="Times New Roman" w:hAnsi="Times New Roman" w:cs="Times New Roman"/>
                                <w:b/>
                                <w:bCs/>
                                <w:color w:val="7030A0"/>
                                <w:sz w:val="20"/>
                                <w:szCs w:val="20"/>
                              </w:rPr>
                              <w:tab/>
                            </w:r>
                            <w:r>
                              <w:rPr>
                                <w:rFonts w:ascii="Times New Roman" w:hAnsi="Times New Roman" w:cs="Times New Roman"/>
                                <w:b/>
                                <w:bCs/>
                                <w:color w:val="7030A0"/>
                                <w:sz w:val="20"/>
                                <w:szCs w:val="20"/>
                              </w:rPr>
                              <w:tab/>
                            </w:r>
                            <w:r>
                              <w:rPr>
                                <w:rFonts w:ascii="Times New Roman" w:hAnsi="Times New Roman" w:cs="Times New Roman"/>
                                <w:b/>
                                <w:bCs/>
                                <w:color w:val="7030A0"/>
                                <w:sz w:val="20"/>
                                <w:szCs w:val="20"/>
                              </w:rPr>
                              <w:tab/>
                            </w:r>
                            <w:r>
                              <w:rPr>
                                <w:rFonts w:ascii="Times New Roman" w:hAnsi="Times New Roman" w:cs="Times New Roman"/>
                                <w:b/>
                                <w:bCs/>
                                <w:color w:val="7030A0"/>
                                <w:sz w:val="20"/>
                                <w:szCs w:val="20"/>
                              </w:rPr>
                              <w:tab/>
                            </w:r>
                          </w:p>
                          <w:p w14:paraId="0264984B" w14:textId="77777777" w:rsidR="00190035" w:rsidRDefault="00190035" w:rsidP="00310BC0">
                            <w:pPr>
                              <w:pStyle w:val="ListParagraph"/>
                              <w:numPr>
                                <w:ilvl w:val="0"/>
                                <w:numId w:val="3"/>
                              </w:numPr>
                              <w:autoSpaceDE w:val="0"/>
                              <w:autoSpaceDN w:val="0"/>
                              <w:adjustRightInd w:val="0"/>
                              <w:jc w:val="left"/>
                              <w:rPr>
                                <w:rFonts w:ascii="Times New Roman" w:hAnsi="Times New Roman" w:cs="Times New Roman"/>
                                <w:b/>
                                <w:bCs/>
                                <w:color w:val="7030A0"/>
                                <w:sz w:val="20"/>
                                <w:szCs w:val="20"/>
                              </w:rPr>
                            </w:pPr>
                            <w:r>
                              <w:rPr>
                                <w:rFonts w:ascii="Times New Roman" w:hAnsi="Times New Roman" w:cs="Times New Roman"/>
                                <w:b/>
                                <w:bCs/>
                                <w:color w:val="7030A0"/>
                                <w:sz w:val="20"/>
                                <w:szCs w:val="20"/>
                              </w:rPr>
                              <w:t>bimonthly</w:t>
                            </w:r>
                          </w:p>
                          <w:p w14:paraId="68332D97" w14:textId="77777777" w:rsidR="00190035" w:rsidRDefault="00190035" w:rsidP="00310BC0">
                            <w:pPr>
                              <w:pStyle w:val="ListParagraph"/>
                              <w:numPr>
                                <w:ilvl w:val="0"/>
                                <w:numId w:val="3"/>
                              </w:numPr>
                              <w:autoSpaceDE w:val="0"/>
                              <w:autoSpaceDN w:val="0"/>
                              <w:adjustRightInd w:val="0"/>
                              <w:jc w:val="left"/>
                              <w:rPr>
                                <w:rFonts w:ascii="Times New Roman" w:hAnsi="Times New Roman" w:cs="Times New Roman"/>
                                <w:b/>
                                <w:bCs/>
                                <w:color w:val="7030A0"/>
                                <w:sz w:val="20"/>
                                <w:szCs w:val="20"/>
                              </w:rPr>
                            </w:pPr>
                            <w:r>
                              <w:rPr>
                                <w:rFonts w:ascii="Times New Roman" w:hAnsi="Times New Roman" w:cs="Times New Roman"/>
                                <w:b/>
                                <w:bCs/>
                                <w:color w:val="7030A0"/>
                                <w:sz w:val="20"/>
                                <w:szCs w:val="20"/>
                              </w:rPr>
                              <w:t>Rapid publication</w:t>
                            </w:r>
                          </w:p>
                          <w:p w14:paraId="0E68EA7A" w14:textId="77777777" w:rsidR="00190035" w:rsidRDefault="00190035" w:rsidP="00A168D2">
                            <w:pPr>
                              <w:autoSpaceDE w:val="0"/>
                              <w:autoSpaceDN w:val="0"/>
                              <w:adjustRightInd w:val="0"/>
                              <w:rPr>
                                <w:rFonts w:ascii="FrutigerLTStd-Roman" w:hAnsi="FrutigerLTStd-Roman" w:cs="FrutigerLTStd-Roman"/>
                                <w:color w:val="000000"/>
                              </w:rPr>
                            </w:pPr>
                            <w:r>
                              <w:rPr>
                                <w:rFonts w:ascii="Times New Roman" w:hAnsi="Times New Roman" w:cs="Times New Roman"/>
                                <w:color w:val="000000"/>
                                <w:sz w:val="20"/>
                                <w:szCs w:val="20"/>
                              </w:rPr>
                              <w:t xml:space="preserve">Submit your manuscript at: </w:t>
                            </w:r>
                            <w:hyperlink r:id="rId20" w:history="1">
                              <w:r>
                                <w:rPr>
                                  <w:rStyle w:val="Hyperlink"/>
                                  <w:rFonts w:ascii="Times New Roman" w:hAnsi="Times New Roman" w:cs="Times New Roman"/>
                                  <w:sz w:val="20"/>
                                  <w:szCs w:val="20"/>
                                </w:rPr>
                                <w:t>editor@ajptr.com</w:t>
                              </w:r>
                            </w:hyperlink>
                          </w:p>
                        </w:txbxContent>
                      </wps:txbx>
                      <wps:bodyPr rot="0" vert="horz" wrap="square" lIns="91440" tIns="45720" rIns="91440" bIns="45720" anchor="t" anchorCtr="0" upright="1">
                        <a:noAutofit/>
                      </wps:bodyPr>
                    </wps:wsp>
                  </a:graphicData>
                </a:graphic>
              </wp:inline>
            </w:drawing>
          </mc:Choice>
          <mc:Fallback>
            <w:pict>
              <v:roundrect w14:anchorId="6F1EBB8A" id="AutoShape 2" o:spid="_x0000_s1027" style="width:314.25pt;height:107.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">
                <v:textbox>
                  <w:txbxContent>
                    <w:p w14:paraId="5EECAEB5" w14:textId="77777777" w:rsidR="00190035" w:rsidRDefault="00190035" w:rsidP="00A168D2">
                      <w:pPr>
                        <w:autoSpaceDE w:val="0"/>
                        <w:autoSpaceDN w:val="0"/>
                        <w:adjustRightInd w:val="0"/>
                        <w:rPr>
                          <w:rFonts w:ascii="Times New Roman" w:hAnsi="Times New Roman" w:cs="Times New Roman"/>
                          <w:b/>
                          <w:bCs/>
                          <w:color w:val="000000"/>
                          <w:sz w:val="24"/>
                          <w:szCs w:val="20"/>
                        </w:rPr>
                      </w:pPr>
                      <w:r>
                        <w:rPr>
                          <w:rFonts w:ascii="Times New Roman" w:hAnsi="Times New Roman" w:cs="Times New Roman"/>
                          <w:b/>
                          <w:bCs/>
                          <w:i/>
                          <w:color w:val="C00000"/>
                          <w:sz w:val="24"/>
                          <w:szCs w:val="20"/>
                        </w:rPr>
                        <w:tab/>
                      </w:r>
                      <w:r>
                        <w:rPr>
                          <w:rFonts w:ascii="Times New Roman" w:hAnsi="Times New Roman" w:cs="Times New Roman"/>
                          <w:b/>
                          <w:bCs/>
                          <w:i/>
                          <w:color w:val="C00000"/>
                          <w:sz w:val="24"/>
                          <w:szCs w:val="20"/>
                        </w:rPr>
                        <w:tab/>
                        <w:t>AJPTR is</w:t>
                      </w:r>
                    </w:p>
                    <w:p w14:paraId="38F74D7D" w14:textId="77777777" w:rsidR="00190035" w:rsidRDefault="00190035" w:rsidP="00310BC0">
                      <w:pPr>
                        <w:pStyle w:val="ListParagraph"/>
                        <w:numPr>
                          <w:ilvl w:val="0"/>
                          <w:numId w:val="3"/>
                        </w:numPr>
                        <w:autoSpaceDE w:val="0"/>
                        <w:autoSpaceDN w:val="0"/>
                        <w:adjustRightInd w:val="0"/>
                        <w:jc w:val="right"/>
                        <w:rPr>
                          <w:rFonts w:ascii="Times New Roman" w:hAnsi="Times New Roman" w:cs="Times New Roman"/>
                          <w:b/>
                          <w:bCs/>
                          <w:color w:val="7030A0"/>
                          <w:sz w:val="20"/>
                          <w:szCs w:val="20"/>
                        </w:rPr>
                      </w:pPr>
                      <w:r>
                        <w:rPr>
                          <w:rFonts w:ascii="Times New Roman" w:hAnsi="Times New Roman" w:cs="Times New Roman"/>
                          <w:b/>
                          <w:bCs/>
                          <w:color w:val="7030A0"/>
                          <w:sz w:val="20"/>
                          <w:szCs w:val="20"/>
                        </w:rPr>
                        <w:t>Peer-reviewed</w:t>
                      </w:r>
                      <w:r>
                        <w:rPr>
                          <w:rFonts w:ascii="Times New Roman" w:hAnsi="Times New Roman" w:cs="Times New Roman"/>
                          <w:b/>
                          <w:bCs/>
                          <w:color w:val="7030A0"/>
                          <w:sz w:val="20"/>
                          <w:szCs w:val="20"/>
                        </w:rPr>
                        <w:tab/>
                      </w:r>
                      <w:r>
                        <w:rPr>
                          <w:rFonts w:ascii="Times New Roman" w:hAnsi="Times New Roman" w:cs="Times New Roman"/>
                          <w:b/>
                          <w:bCs/>
                          <w:color w:val="7030A0"/>
                          <w:sz w:val="20"/>
                          <w:szCs w:val="20"/>
                        </w:rPr>
                        <w:tab/>
                      </w:r>
                      <w:r>
                        <w:rPr>
                          <w:rFonts w:ascii="Times New Roman" w:hAnsi="Times New Roman" w:cs="Times New Roman"/>
                          <w:b/>
                          <w:bCs/>
                          <w:color w:val="7030A0"/>
                          <w:sz w:val="20"/>
                          <w:szCs w:val="20"/>
                        </w:rPr>
                        <w:tab/>
                      </w:r>
                      <w:r>
                        <w:rPr>
                          <w:rFonts w:ascii="Times New Roman" w:hAnsi="Times New Roman" w:cs="Times New Roman"/>
                          <w:b/>
                          <w:bCs/>
                          <w:color w:val="7030A0"/>
                          <w:sz w:val="20"/>
                          <w:szCs w:val="20"/>
                        </w:rPr>
                        <w:tab/>
                      </w:r>
                      <w:r>
                        <w:rPr>
                          <w:rFonts w:ascii="Times New Roman" w:hAnsi="Times New Roman" w:cs="Times New Roman"/>
                          <w:b/>
                          <w:bCs/>
                          <w:color w:val="7030A0"/>
                          <w:sz w:val="20"/>
                          <w:szCs w:val="20"/>
                        </w:rPr>
                        <w:tab/>
                      </w:r>
                      <w:r>
                        <w:rPr>
                          <w:rFonts w:ascii="Times New Roman" w:hAnsi="Times New Roman" w:cs="Times New Roman"/>
                          <w:b/>
                          <w:bCs/>
                          <w:color w:val="7030A0"/>
                          <w:sz w:val="20"/>
                          <w:szCs w:val="20"/>
                        </w:rPr>
                        <w:tab/>
                      </w:r>
                    </w:p>
                    <w:p w14:paraId="0264984B" w14:textId="77777777" w:rsidR="00190035" w:rsidRDefault="00190035" w:rsidP="00310BC0">
                      <w:pPr>
                        <w:pStyle w:val="ListParagraph"/>
                        <w:numPr>
                          <w:ilvl w:val="0"/>
                          <w:numId w:val="3"/>
                        </w:numPr>
                        <w:autoSpaceDE w:val="0"/>
                        <w:autoSpaceDN w:val="0"/>
                        <w:adjustRightInd w:val="0"/>
                        <w:jc w:val="left"/>
                        <w:rPr>
                          <w:rFonts w:ascii="Times New Roman" w:hAnsi="Times New Roman" w:cs="Times New Roman"/>
                          <w:b/>
                          <w:bCs/>
                          <w:color w:val="7030A0"/>
                          <w:sz w:val="20"/>
                          <w:szCs w:val="20"/>
                        </w:rPr>
                      </w:pPr>
                      <w:r>
                        <w:rPr>
                          <w:rFonts w:ascii="Times New Roman" w:hAnsi="Times New Roman" w:cs="Times New Roman"/>
                          <w:b/>
                          <w:bCs/>
                          <w:color w:val="7030A0"/>
                          <w:sz w:val="20"/>
                          <w:szCs w:val="20"/>
                        </w:rPr>
                        <w:t>bimonthly</w:t>
                      </w:r>
                    </w:p>
                    <w:p w14:paraId="68332D97" w14:textId="77777777" w:rsidR="00190035" w:rsidRDefault="00190035" w:rsidP="00310BC0">
                      <w:pPr>
                        <w:pStyle w:val="ListParagraph"/>
                        <w:numPr>
                          <w:ilvl w:val="0"/>
                          <w:numId w:val="3"/>
                        </w:numPr>
                        <w:autoSpaceDE w:val="0"/>
                        <w:autoSpaceDN w:val="0"/>
                        <w:adjustRightInd w:val="0"/>
                        <w:jc w:val="left"/>
                        <w:rPr>
                          <w:rFonts w:ascii="Times New Roman" w:hAnsi="Times New Roman" w:cs="Times New Roman"/>
                          <w:b/>
                          <w:bCs/>
                          <w:color w:val="7030A0"/>
                          <w:sz w:val="20"/>
                          <w:szCs w:val="20"/>
                        </w:rPr>
                      </w:pPr>
                      <w:r>
                        <w:rPr>
                          <w:rFonts w:ascii="Times New Roman" w:hAnsi="Times New Roman" w:cs="Times New Roman"/>
                          <w:b/>
                          <w:bCs/>
                          <w:color w:val="7030A0"/>
                          <w:sz w:val="20"/>
                          <w:szCs w:val="20"/>
                        </w:rPr>
                        <w:t>Rapid publication</w:t>
                      </w:r>
                    </w:p>
                    <w:p w14:paraId="0E68EA7A" w14:textId="77777777" w:rsidR="00190035" w:rsidRDefault="00190035" w:rsidP="00A168D2">
                      <w:pPr>
                        <w:autoSpaceDE w:val="0"/>
                        <w:autoSpaceDN w:val="0"/>
                        <w:adjustRightInd w:val="0"/>
                        <w:rPr>
                          <w:rFonts w:ascii="FrutigerLTStd-Roman" w:hAnsi="FrutigerLTStd-Roman" w:cs="FrutigerLTStd-Roman"/>
                          <w:color w:val="000000"/>
                        </w:rPr>
                      </w:pPr>
                      <w:r>
                        <w:rPr>
                          <w:rFonts w:ascii="Times New Roman" w:hAnsi="Times New Roman" w:cs="Times New Roman"/>
                          <w:color w:val="000000"/>
                          <w:sz w:val="20"/>
                          <w:szCs w:val="20"/>
                        </w:rPr>
                        <w:t xml:space="preserve">Submit your manuscript at: </w:t>
                      </w:r>
                      <w:hyperlink r:id="rId21" w:history="1">
                        <w:r>
                          <w:rPr>
                            <w:rStyle w:val="Hyperlink"/>
                            <w:rFonts w:ascii="Times New Roman" w:hAnsi="Times New Roman" w:cs="Times New Roman"/>
                            <w:sz w:val="20"/>
                            <w:szCs w:val="20"/>
                          </w:rPr>
                          <w:t>editor@ajptr.com</w:t>
                        </w:r>
                      </w:hyperlink>
                    </w:p>
                  </w:txbxContent>
                </v:textbox>
                <w10:anchorlock/>
              </v:roundrect>
            </w:pict>
          </mc:Fallback>
        </mc:AlternateContent>
      </w:r>
    </w:p>
    <w:sectPr w:rsidR="00E44857" w:rsidRPr="00902ACC" w:rsidSect="000C1C95">
      <w:pgSz w:w="12240" w:h="15840"/>
      <w:pgMar w:top="862" w:right="1259" w:bottom="992" w:left="1440" w:header="35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CE9C8" w14:textId="77777777" w:rsidR="00956385" w:rsidRDefault="00956385" w:rsidP="00132DAB">
      <w:pPr>
        <w:spacing w:line="240" w:lineRule="auto"/>
      </w:pPr>
      <w:r>
        <w:separator/>
      </w:r>
    </w:p>
  </w:endnote>
  <w:endnote w:type="continuationSeparator" w:id="0">
    <w:p w14:paraId="08FB054B" w14:textId="77777777" w:rsidR="00956385" w:rsidRDefault="00956385" w:rsidP="00132D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ZXSYWP+MinionPro-Cn">
    <w:altName w:val="MS Mincho"/>
    <w:panose1 w:val="00000000000000000000"/>
    <w:charset w:val="00"/>
    <w:family w:val="roman"/>
    <w:notTrueType/>
    <w:pitch w:val="default"/>
    <w:sig w:usb0="00000003" w:usb1="08070000" w:usb2="00000010" w:usb3="00000000" w:csb0="00020001" w:csb1="00000000"/>
  </w:font>
  <w:font w:name="HPPPPK+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dobe Garamond Pro">
    <w:panose1 w:val="00000000000000000000"/>
    <w:charset w:val="00"/>
    <w:family w:val="roman"/>
    <w:notTrueType/>
    <w:pitch w:val="variable"/>
    <w:sig w:usb0="00000007"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NeueLT Std Med Ext">
    <w:altName w:val="HelveticaNeueLT Std Med Ext"/>
    <w:panose1 w:val="00000000000000000000"/>
    <w:charset w:val="00"/>
    <w:family w:val="swiss"/>
    <w:notTrueType/>
    <w:pitch w:val="default"/>
    <w:sig w:usb0="00000003" w:usb1="00000000" w:usb2="00000000" w:usb3="00000000" w:csb0="00000001"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Adobe Jenson Pro">
    <w:altName w:val="Adobe Jenson Pro"/>
    <w:panose1 w:val="00000000000000000000"/>
    <w:charset w:val="00"/>
    <w:family w:val="roman"/>
    <w:notTrueType/>
    <w:pitch w:val="default"/>
    <w:sig w:usb0="00000003" w:usb1="00000000" w:usb2="00000000" w:usb3="00000000" w:csb0="00000001" w:csb1="00000000"/>
  </w:font>
  <w:font w:name="AMEINH+TimesNewRoman">
    <w:altName w:val="Times New Roman"/>
    <w:panose1 w:val="00000000000000000000"/>
    <w:charset w:val="00"/>
    <w:family w:val="roman"/>
    <w:notTrueType/>
    <w:pitch w:val="default"/>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FrutigerLTStd-Roma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72" w:type="dxa"/>
        <w:left w:w="115" w:type="dxa"/>
        <w:bottom w:w="72" w:type="dxa"/>
        <w:right w:w="115" w:type="dxa"/>
      </w:tblCellMar>
      <w:tblLook w:val="04A0" w:firstRow="1" w:lastRow="0" w:firstColumn="1" w:lastColumn="0" w:noHBand="0" w:noVBand="1"/>
    </w:tblPr>
    <w:tblGrid>
      <w:gridCol w:w="8794"/>
      <w:gridCol w:w="977"/>
    </w:tblGrid>
    <w:tr w:rsidR="00190035" w:rsidRPr="00217CC0" w14:paraId="6A91389F" w14:textId="77777777" w:rsidTr="00723D75">
      <w:trPr>
        <w:jc w:val="center"/>
      </w:trPr>
      <w:tc>
        <w:tcPr>
          <w:tcW w:w="4500" w:type="pct"/>
          <w:tcBorders>
            <w:top w:val="single" w:sz="4" w:space="0" w:color="000000" w:themeColor="text1"/>
          </w:tcBorders>
          <w:shd w:val="clear" w:color="auto" w:fill="CCC0D9" w:themeFill="accent4" w:themeFillTint="66"/>
        </w:tcPr>
        <w:p w14:paraId="10829467" w14:textId="77777777" w:rsidR="00190035" w:rsidRPr="00217CC0" w:rsidRDefault="00190035" w:rsidP="0063448F">
          <w:pPr>
            <w:pStyle w:val="Footer"/>
            <w:rPr>
              <w:rFonts w:ascii="Times New Roman" w:hAnsi="Times New Roman" w:cs="Times New Roman"/>
              <w:sz w:val="24"/>
              <w:szCs w:val="24"/>
            </w:rPr>
          </w:pPr>
          <w:hyperlink r:id="rId1" w:history="1">
            <w:r w:rsidRPr="00217CC0">
              <w:rPr>
                <w:rStyle w:val="Hyperlink"/>
                <w:rFonts w:ascii="Times New Roman" w:hAnsi="Times New Roman" w:cs="Times New Roman"/>
                <w:sz w:val="24"/>
                <w:szCs w:val="24"/>
              </w:rPr>
              <w:t>www.ajptr.com</w:t>
            </w:r>
          </w:hyperlink>
        </w:p>
      </w:tc>
      <w:tc>
        <w:tcPr>
          <w:tcW w:w="500" w:type="pct"/>
          <w:tcBorders>
            <w:top w:val="single" w:sz="4" w:space="0" w:color="C0504D" w:themeColor="accent2"/>
          </w:tcBorders>
          <w:shd w:val="clear" w:color="auto" w:fill="943634" w:themeFill="accent2" w:themeFillShade="BF"/>
        </w:tcPr>
        <w:p w14:paraId="7C83E265" w14:textId="77777777" w:rsidR="00190035" w:rsidRPr="00217CC0" w:rsidRDefault="00190035" w:rsidP="00E377AA">
          <w:pPr>
            <w:pStyle w:val="Header"/>
            <w:tabs>
              <w:tab w:val="left" w:pos="225"/>
              <w:tab w:val="center" w:pos="364"/>
            </w:tabs>
            <w:rPr>
              <w:rFonts w:ascii="Times New Roman" w:hAnsi="Times New Roman" w:cs="Times New Roman"/>
              <w:color w:val="FFFFFF" w:themeColor="background1"/>
              <w:sz w:val="24"/>
              <w:szCs w:val="24"/>
            </w:rPr>
          </w:pPr>
          <w:r>
            <w:rPr>
              <w:rFonts w:ascii="Times New Roman" w:hAnsi="Times New Roman" w:cs="Times New Roman"/>
              <w:sz w:val="24"/>
              <w:szCs w:val="24"/>
            </w:rPr>
            <w:tab/>
          </w:r>
          <w:r>
            <w:fldChar w:fldCharType="begin"/>
          </w:r>
          <w:r>
            <w:instrText xml:space="preserve"> PAGE   \* MERGEFORMAT </w:instrText>
          </w:r>
          <w:r>
            <w:fldChar w:fldCharType="separate"/>
          </w:r>
          <w:r w:rsidR="00747D17" w:rsidRPr="00747D17">
            <w:rPr>
              <w:noProof/>
              <w:color w:val="FFFFFF" w:themeColor="background1"/>
            </w:rPr>
            <w:t>2</w:t>
          </w:r>
          <w:r>
            <w:rPr>
              <w:noProof/>
              <w:color w:val="FFFFFF" w:themeColor="background1"/>
            </w:rPr>
            <w:fldChar w:fldCharType="end"/>
          </w:r>
        </w:p>
      </w:tc>
    </w:tr>
  </w:tbl>
  <w:p w14:paraId="60361662" w14:textId="77777777" w:rsidR="00190035" w:rsidRPr="00733CF4" w:rsidRDefault="00190035">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880" w:type="pct"/>
      <w:jc w:val="center"/>
      <w:tblCellMar>
        <w:top w:w="72" w:type="dxa"/>
        <w:left w:w="115" w:type="dxa"/>
        <w:bottom w:w="72" w:type="dxa"/>
        <w:right w:w="115" w:type="dxa"/>
      </w:tblCellMar>
      <w:tblLook w:val="04A0" w:firstRow="1" w:lastRow="0" w:firstColumn="1" w:lastColumn="0" w:noHBand="0" w:noVBand="1"/>
    </w:tblPr>
    <w:tblGrid>
      <w:gridCol w:w="858"/>
      <w:gridCol w:w="8678"/>
    </w:tblGrid>
    <w:tr w:rsidR="00190035" w14:paraId="25AC4A15" w14:textId="77777777" w:rsidTr="00723D75">
      <w:trPr>
        <w:jc w:val="center"/>
      </w:trPr>
      <w:tc>
        <w:tcPr>
          <w:tcW w:w="450" w:type="pct"/>
          <w:tcBorders>
            <w:top w:val="single" w:sz="4" w:space="0" w:color="943634" w:themeColor="accent2" w:themeShade="BF"/>
          </w:tcBorders>
          <w:shd w:val="clear" w:color="auto" w:fill="943634" w:themeFill="accent2" w:themeFillShade="BF"/>
        </w:tcPr>
        <w:p w14:paraId="6FE44C4B" w14:textId="77777777" w:rsidR="00190035" w:rsidRPr="00217CC0" w:rsidRDefault="00190035" w:rsidP="00E377AA">
          <w:pPr>
            <w:pStyle w:val="Footer"/>
            <w:jc w:val="center"/>
            <w:rPr>
              <w:rFonts w:ascii="Times New Roman" w:hAnsi="Times New Roman" w:cs="Times New Roman"/>
              <w:b/>
              <w:color w:val="FFFFFF" w:themeColor="background1"/>
              <w:sz w:val="24"/>
              <w:szCs w:val="24"/>
            </w:rPr>
          </w:pPr>
          <w:r>
            <w:fldChar w:fldCharType="begin"/>
          </w:r>
          <w:r>
            <w:instrText xml:space="preserve"> PAGE   \* MERGEFORMAT </w:instrText>
          </w:r>
          <w:r>
            <w:fldChar w:fldCharType="separate"/>
          </w:r>
          <w:r w:rsidR="00747D17" w:rsidRPr="00747D17">
            <w:rPr>
              <w:noProof/>
              <w:color w:val="FFFFFF" w:themeColor="background1"/>
            </w:rPr>
            <w:t>3</w:t>
          </w:r>
          <w:r>
            <w:rPr>
              <w:noProof/>
              <w:color w:val="FFFFFF" w:themeColor="background1"/>
            </w:rPr>
            <w:fldChar w:fldCharType="end"/>
          </w:r>
        </w:p>
      </w:tc>
      <w:tc>
        <w:tcPr>
          <w:tcW w:w="4550" w:type="pct"/>
          <w:tcBorders>
            <w:top w:val="single" w:sz="4" w:space="0" w:color="auto"/>
          </w:tcBorders>
          <w:shd w:val="clear" w:color="auto" w:fill="CCC0D9" w:themeFill="accent4" w:themeFillTint="66"/>
        </w:tcPr>
        <w:p w14:paraId="244FD508" w14:textId="77777777" w:rsidR="00190035" w:rsidRPr="00217CC0" w:rsidRDefault="00190035" w:rsidP="00DF070D">
          <w:pPr>
            <w:pStyle w:val="Footer"/>
            <w:jc w:val="right"/>
            <w:rPr>
              <w:rFonts w:ascii="Times New Roman" w:hAnsi="Times New Roman" w:cs="Times New Roman"/>
              <w:sz w:val="24"/>
              <w:szCs w:val="24"/>
            </w:rPr>
          </w:pPr>
          <w:hyperlink r:id="rId1" w:history="1">
            <w:r w:rsidRPr="000244D7">
              <w:rPr>
                <w:rStyle w:val="Hyperlink"/>
                <w:rFonts w:ascii="Times New Roman" w:hAnsi="Times New Roman" w:cs="Times New Roman"/>
                <w:sz w:val="24"/>
                <w:szCs w:val="24"/>
              </w:rPr>
              <w:t>www.ajptr.com</w:t>
            </w:r>
          </w:hyperlink>
        </w:p>
      </w:tc>
    </w:tr>
  </w:tbl>
  <w:p w14:paraId="5DA2C79E" w14:textId="77777777" w:rsidR="00190035" w:rsidRPr="00733CF4" w:rsidRDefault="00190035">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36B5D" w14:textId="77777777" w:rsidR="00190035" w:rsidRPr="009059E1" w:rsidRDefault="00190035" w:rsidP="00A24BD9">
    <w:pPr>
      <w:spacing w:line="240" w:lineRule="auto"/>
      <w:rPr>
        <w:sz w:val="2"/>
        <w:szCs w:val="2"/>
      </w:rPr>
    </w:pPr>
  </w:p>
  <w:tbl>
    <w:tblPr>
      <w:tblStyle w:val="TableGrid"/>
      <w:tblpPr w:leftFromText="180" w:rightFromText="180" w:vertAnchor="text" w:horzAnchor="margin" w:tblpY="-63"/>
      <w:tblW w:w="9468" w:type="dxa"/>
      <w:tblLook w:val="04A0" w:firstRow="1" w:lastRow="0" w:firstColumn="1" w:lastColumn="0" w:noHBand="0" w:noVBand="1"/>
    </w:tblPr>
    <w:tblGrid>
      <w:gridCol w:w="9468"/>
    </w:tblGrid>
    <w:tr w:rsidR="00190035" w:rsidRPr="001941D1" w14:paraId="0C53576C" w14:textId="77777777" w:rsidTr="000A1088">
      <w:trPr>
        <w:trHeight w:val="639"/>
      </w:trPr>
      <w:tc>
        <w:tcPr>
          <w:tcW w:w="9468" w:type="dxa"/>
          <w:shd w:val="pct5" w:color="auto" w:fill="auto"/>
        </w:tcPr>
        <w:p w14:paraId="507AA687" w14:textId="35E85EEA" w:rsidR="00190035" w:rsidRPr="008B304E" w:rsidRDefault="00190035" w:rsidP="009139AE">
          <w:pPr>
            <w:autoSpaceDE w:val="0"/>
            <w:autoSpaceDN w:val="0"/>
            <w:adjustRightInd w:val="0"/>
            <w:rPr>
              <w:bCs/>
              <w:sz w:val="22"/>
              <w:szCs w:val="22"/>
              <w:lang w:bidi="ta-IN"/>
            </w:rPr>
          </w:pPr>
          <w:r w:rsidRPr="007A2F53">
            <w:rPr>
              <w:sz w:val="22"/>
              <w:szCs w:val="22"/>
            </w:rPr>
            <w:t>Please cite this article as:</w:t>
          </w:r>
          <w:r>
            <w:rPr>
              <w:sz w:val="22"/>
              <w:szCs w:val="22"/>
            </w:rPr>
            <w:t xml:space="preserve"> </w:t>
          </w:r>
          <w:r w:rsidR="000F53DE" w:rsidRPr="000F53DE">
            <w:rPr>
              <w:sz w:val="22"/>
              <w:szCs w:val="24"/>
            </w:rPr>
            <w:t>Chauhan</w:t>
          </w:r>
          <w:r w:rsidR="000F53DE" w:rsidRPr="000F53DE">
            <w:rPr>
              <w:sz w:val="22"/>
              <w:szCs w:val="24"/>
            </w:rPr>
            <w:t xml:space="preserve"> </w:t>
          </w:r>
          <w:r w:rsidR="000F53DE">
            <w:rPr>
              <w:sz w:val="22"/>
              <w:szCs w:val="24"/>
            </w:rPr>
            <w:t xml:space="preserve">N </w:t>
          </w:r>
          <w:r w:rsidRPr="00607E21">
            <w:rPr>
              <w:i/>
              <w:sz w:val="22"/>
              <w:szCs w:val="22"/>
            </w:rPr>
            <w:t>et al</w:t>
          </w:r>
          <w:r w:rsidRPr="00607E21">
            <w:rPr>
              <w:rFonts w:eastAsia="Calibri"/>
              <w:bCs/>
              <w:sz w:val="22"/>
              <w:szCs w:val="22"/>
              <w:lang w:val="en-IN"/>
            </w:rPr>
            <w:t>.,</w:t>
          </w:r>
          <w:r w:rsidR="009178A0">
            <w:t xml:space="preserve"> </w:t>
          </w:r>
          <w:r w:rsidR="007E10E7">
            <w:t xml:space="preserve"> </w:t>
          </w:r>
          <w:r w:rsidR="007E10E7" w:rsidRPr="007E10E7">
            <w:rPr>
              <w:sz w:val="24"/>
              <w:szCs w:val="24"/>
            </w:rPr>
            <w:t>Peptic Ulcer Disease: Mechanisms of Pathogenesis and Insights into Herbal versus Synthetic Treatments</w:t>
          </w:r>
          <w:r w:rsidRPr="00D11EE9">
            <w:rPr>
              <w:bCs/>
              <w:sz w:val="24"/>
              <w:szCs w:val="24"/>
              <w:lang w:bidi="ta-IN"/>
            </w:rPr>
            <w:t xml:space="preserve">. </w:t>
          </w:r>
          <w:r w:rsidRPr="00D11EE9">
            <w:rPr>
              <w:sz w:val="24"/>
              <w:szCs w:val="24"/>
            </w:rPr>
            <w:t>American Journal of PharmTech Research 202</w:t>
          </w:r>
          <w:r w:rsidR="00935C56">
            <w:rPr>
              <w:sz w:val="24"/>
              <w:szCs w:val="24"/>
            </w:rPr>
            <w:t>6</w:t>
          </w:r>
          <w:r w:rsidRPr="00D11EE9">
            <w:rPr>
              <w:sz w:val="24"/>
              <w:szCs w:val="24"/>
            </w:rPr>
            <w:t>.</w:t>
          </w:r>
        </w:p>
      </w:tc>
    </w:tr>
  </w:tbl>
  <w:p w14:paraId="744D7D8F" w14:textId="77777777" w:rsidR="00190035" w:rsidRDefault="00190035" w:rsidP="00A24BD9">
    <w:pPr>
      <w:tabs>
        <w:tab w:val="left" w:pos="11067"/>
      </w:tabs>
      <w:spacing w:line="240" w:lineRule="auto"/>
      <w:rPr>
        <w:sz w:val="24"/>
        <w:szCs w:val="24"/>
      </w:rPr>
    </w:pPr>
    <w:r>
      <w:rPr>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0CDE3" w14:textId="77777777" w:rsidR="00956385" w:rsidRDefault="00956385" w:rsidP="00132DAB">
      <w:pPr>
        <w:spacing w:line="240" w:lineRule="auto"/>
      </w:pPr>
      <w:r>
        <w:separator/>
      </w:r>
    </w:p>
  </w:footnote>
  <w:footnote w:type="continuationSeparator" w:id="0">
    <w:p w14:paraId="1C6ABFAB" w14:textId="77777777" w:rsidR="00956385" w:rsidRDefault="00956385" w:rsidP="00132D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14996" w14:textId="37BB187B" w:rsidR="00190035" w:rsidRPr="00644D35" w:rsidRDefault="001B4544" w:rsidP="008B304E">
    <w:pPr>
      <w:pStyle w:val="Footer"/>
      <w:shd w:val="clear" w:color="auto" w:fill="632423" w:themeFill="accent2" w:themeFillShade="80"/>
      <w:rPr>
        <w:rFonts w:ascii="Times New Roman" w:hAnsi="Times New Roman" w:cs="Times New Roman"/>
        <w:sz w:val="24"/>
        <w:szCs w:val="24"/>
      </w:rPr>
    </w:pPr>
    <w:r w:rsidRPr="001B4544">
      <w:rPr>
        <w:rFonts w:ascii="Times New Roman" w:hAnsi="Times New Roman" w:cs="Times New Roman"/>
        <w:color w:val="FFFFFF" w:themeColor="background1"/>
        <w:sz w:val="24"/>
        <w:szCs w:val="24"/>
        <w:shd w:val="clear" w:color="auto" w:fill="632423" w:themeFill="accent2" w:themeFillShade="80"/>
      </w:rPr>
      <w:t>Chauhan</w:t>
    </w:r>
    <w:r w:rsidR="00190035">
      <w:rPr>
        <w:rFonts w:ascii="Times New Roman" w:hAnsi="Times New Roman" w:cs="Times New Roman"/>
        <w:color w:val="FFFFFF" w:themeColor="background1"/>
        <w:sz w:val="24"/>
        <w:szCs w:val="24"/>
        <w:shd w:val="clear" w:color="auto" w:fill="632423" w:themeFill="accent2" w:themeFillShade="80"/>
      </w:rPr>
      <w:t xml:space="preserve"> </w:t>
    </w:r>
    <w:r w:rsidR="00190035" w:rsidRPr="00C00CDF">
      <w:rPr>
        <w:rFonts w:ascii="Times New Roman" w:hAnsi="Times New Roman" w:cs="Times New Roman"/>
        <w:i/>
        <w:sz w:val="24"/>
        <w:szCs w:val="24"/>
        <w:shd w:val="clear" w:color="auto" w:fill="632423" w:themeFill="accent2" w:themeFillShade="80"/>
      </w:rPr>
      <w:t>et. al</w:t>
    </w:r>
    <w:r w:rsidR="00190035" w:rsidRPr="00BD58AB">
      <w:rPr>
        <w:rFonts w:ascii="Times New Roman" w:hAnsi="Times New Roman" w:cs="Times New Roman"/>
        <w:sz w:val="24"/>
        <w:szCs w:val="24"/>
        <w:shd w:val="clear" w:color="auto" w:fill="632423" w:themeFill="accent2" w:themeFillShade="80"/>
      </w:rPr>
      <w:t xml:space="preserve">., </w:t>
    </w:r>
    <w:r w:rsidR="00190035" w:rsidRPr="00BD58AB">
      <w:rPr>
        <w:rFonts w:ascii="Times New Roman" w:hAnsi="Times New Roman" w:cs="Times New Roman"/>
        <w:sz w:val="24"/>
        <w:szCs w:val="24"/>
        <w:shd w:val="clear" w:color="auto" w:fill="632423" w:themeFill="accent2" w:themeFillShade="80"/>
      </w:rPr>
      <w:tab/>
    </w:r>
    <w:r w:rsidR="00190035" w:rsidRPr="003E25F6">
      <w:rPr>
        <w:rFonts w:ascii="Times New Roman" w:hAnsi="Times New Roman" w:cs="Times New Roman"/>
        <w:sz w:val="24"/>
        <w:szCs w:val="24"/>
        <w:shd w:val="clear" w:color="auto" w:fill="632423" w:themeFill="accent2" w:themeFillShade="80"/>
      </w:rPr>
      <w:t>Am</w:t>
    </w:r>
    <w:r w:rsidR="00190035">
      <w:rPr>
        <w:rFonts w:ascii="Times New Roman" w:hAnsi="Times New Roman" w:cs="Times New Roman"/>
        <w:sz w:val="24"/>
        <w:szCs w:val="24"/>
        <w:shd w:val="clear" w:color="auto" w:fill="632423" w:themeFill="accent2" w:themeFillShade="80"/>
      </w:rPr>
      <w:t>.</w:t>
    </w:r>
    <w:r w:rsidR="00190035" w:rsidRPr="003E25F6">
      <w:rPr>
        <w:rFonts w:ascii="Times New Roman" w:hAnsi="Times New Roman" w:cs="Times New Roman"/>
        <w:sz w:val="24"/>
        <w:szCs w:val="24"/>
        <w:shd w:val="clear" w:color="auto" w:fill="632423" w:themeFill="accent2" w:themeFillShade="80"/>
      </w:rPr>
      <w:t xml:space="preserve"> J</w:t>
    </w:r>
    <w:r w:rsidR="00190035">
      <w:rPr>
        <w:rFonts w:ascii="Times New Roman" w:hAnsi="Times New Roman" w:cs="Times New Roman"/>
        <w:sz w:val="24"/>
        <w:szCs w:val="24"/>
        <w:shd w:val="clear" w:color="auto" w:fill="632423" w:themeFill="accent2" w:themeFillShade="80"/>
      </w:rPr>
      <w:t xml:space="preserve">. </w:t>
    </w:r>
    <w:r w:rsidR="00190035" w:rsidRPr="003E25F6">
      <w:rPr>
        <w:rFonts w:ascii="Times New Roman" w:hAnsi="Times New Roman" w:cs="Times New Roman"/>
        <w:sz w:val="24"/>
        <w:szCs w:val="24"/>
        <w:shd w:val="clear" w:color="auto" w:fill="632423" w:themeFill="accent2" w:themeFillShade="80"/>
      </w:rPr>
      <w:t>P</w:t>
    </w:r>
    <w:r w:rsidR="00190035">
      <w:rPr>
        <w:rFonts w:ascii="Times New Roman" w:hAnsi="Times New Roman" w:cs="Times New Roman"/>
        <w:sz w:val="24"/>
        <w:szCs w:val="24"/>
        <w:shd w:val="clear" w:color="auto" w:fill="632423" w:themeFill="accent2" w:themeFillShade="80"/>
      </w:rPr>
      <w:t>harmTech Res. 202</w:t>
    </w:r>
    <w:r w:rsidR="00935C56">
      <w:rPr>
        <w:rFonts w:ascii="Times New Roman" w:hAnsi="Times New Roman" w:cs="Times New Roman"/>
        <w:sz w:val="24"/>
        <w:szCs w:val="24"/>
        <w:shd w:val="clear" w:color="auto" w:fill="632423" w:themeFill="accent2" w:themeFillShade="80"/>
      </w:rPr>
      <w:t>6</w:t>
    </w:r>
    <w:r w:rsidR="00190035">
      <w:rPr>
        <w:rFonts w:ascii="Times New Roman" w:hAnsi="Times New Roman" w:cs="Times New Roman"/>
        <w:sz w:val="24"/>
        <w:szCs w:val="24"/>
        <w:shd w:val="clear" w:color="auto" w:fill="632423" w:themeFill="accent2" w:themeFillShade="80"/>
      </w:rPr>
      <w:t>;1</w:t>
    </w:r>
    <w:r w:rsidR="00935C56">
      <w:rPr>
        <w:rFonts w:ascii="Times New Roman" w:hAnsi="Times New Roman" w:cs="Times New Roman"/>
        <w:sz w:val="24"/>
        <w:szCs w:val="24"/>
        <w:shd w:val="clear" w:color="auto" w:fill="632423" w:themeFill="accent2" w:themeFillShade="80"/>
      </w:rPr>
      <w:t>6</w:t>
    </w:r>
    <w:r w:rsidR="00190035">
      <w:rPr>
        <w:rFonts w:ascii="Times New Roman" w:hAnsi="Times New Roman" w:cs="Times New Roman"/>
        <w:sz w:val="24"/>
        <w:szCs w:val="24"/>
        <w:shd w:val="clear" w:color="auto" w:fill="632423" w:themeFill="accent2" w:themeFillShade="80"/>
      </w:rPr>
      <w:t>(</w:t>
    </w:r>
    <w:r w:rsidR="00DE4A2A">
      <w:rPr>
        <w:rFonts w:ascii="Times New Roman" w:hAnsi="Times New Roman" w:cs="Times New Roman"/>
        <w:sz w:val="24"/>
        <w:szCs w:val="24"/>
        <w:shd w:val="clear" w:color="auto" w:fill="632423" w:themeFill="accent2" w:themeFillShade="80"/>
      </w:rPr>
      <w:t>0</w:t>
    </w:r>
    <w:r w:rsidR="00400694">
      <w:rPr>
        <w:rFonts w:ascii="Times New Roman" w:hAnsi="Times New Roman" w:cs="Times New Roman"/>
        <w:sz w:val="24"/>
        <w:szCs w:val="24"/>
        <w:shd w:val="clear" w:color="auto" w:fill="632423" w:themeFill="accent2" w:themeFillShade="80"/>
      </w:rPr>
      <w:t>2</w:t>
    </w:r>
    <w:r w:rsidR="00190035">
      <w:rPr>
        <w:rFonts w:ascii="Times New Roman" w:hAnsi="Times New Roman" w:cs="Times New Roman"/>
        <w:sz w:val="24"/>
        <w:szCs w:val="24"/>
        <w:shd w:val="clear" w:color="auto" w:fill="632423" w:themeFill="accent2" w:themeFillShade="80"/>
      </w:rPr>
      <w:t xml:space="preserve">) </w:t>
    </w:r>
    <w:r w:rsidR="00190035">
      <w:rPr>
        <w:rFonts w:ascii="Times New Roman" w:hAnsi="Times New Roman" w:cs="Times New Roman"/>
        <w:sz w:val="24"/>
        <w:szCs w:val="24"/>
        <w:shd w:val="clear" w:color="auto" w:fill="632423" w:themeFill="accent2" w:themeFillShade="80"/>
      </w:rPr>
      <w:tab/>
      <w:t xml:space="preserve">ISSN: </w:t>
    </w:r>
    <w:r w:rsidR="00190035" w:rsidRPr="003E25F6">
      <w:rPr>
        <w:rFonts w:ascii="Times New Roman" w:hAnsi="Times New Roman" w:cs="Times New Roman"/>
        <w:sz w:val="24"/>
        <w:szCs w:val="24"/>
        <w:shd w:val="clear" w:color="auto" w:fill="632423" w:themeFill="accent2" w:themeFillShade="80"/>
      </w:rPr>
      <w:t>2</w:t>
    </w:r>
    <w:r w:rsidR="00190035">
      <w:rPr>
        <w:rFonts w:ascii="Times New Roman" w:hAnsi="Times New Roman" w:cs="Times New Roman"/>
        <w:sz w:val="24"/>
        <w:szCs w:val="24"/>
        <w:shd w:val="clear" w:color="auto" w:fill="632423" w:themeFill="accent2" w:themeFillShade="80"/>
      </w:rPr>
      <w:t>2</w:t>
    </w:r>
    <w:r w:rsidR="00190035" w:rsidRPr="003E25F6">
      <w:rPr>
        <w:rFonts w:ascii="Times New Roman" w:hAnsi="Times New Roman" w:cs="Times New Roman"/>
        <w:sz w:val="24"/>
        <w:szCs w:val="24"/>
        <w:shd w:val="clear" w:color="auto" w:fill="632423" w:themeFill="accent2" w:themeFillShade="80"/>
      </w:rPr>
      <w:t>4</w:t>
    </w:r>
    <w:r w:rsidR="00190035">
      <w:rPr>
        <w:rFonts w:ascii="Times New Roman" w:hAnsi="Times New Roman" w:cs="Times New Roman"/>
        <w:sz w:val="24"/>
        <w:szCs w:val="24"/>
        <w:shd w:val="clear" w:color="auto" w:fill="632423" w:themeFill="accent2" w:themeFillShade="80"/>
      </w:rPr>
      <w:t>9</w:t>
    </w:r>
    <w:r w:rsidR="00190035" w:rsidRPr="003E25F6">
      <w:rPr>
        <w:rFonts w:ascii="Times New Roman" w:hAnsi="Times New Roman" w:cs="Times New Roman"/>
        <w:sz w:val="24"/>
        <w:szCs w:val="24"/>
        <w:shd w:val="clear" w:color="auto" w:fill="632423" w:themeFill="accent2" w:themeFillShade="80"/>
      </w:rPr>
      <w:t>-</w:t>
    </w:r>
    <w:r w:rsidR="00190035">
      <w:rPr>
        <w:rFonts w:ascii="Times New Roman" w:hAnsi="Times New Roman" w:cs="Times New Roman"/>
        <w:sz w:val="24"/>
        <w:szCs w:val="24"/>
        <w:shd w:val="clear" w:color="auto" w:fill="632423" w:themeFill="accent2" w:themeFillShade="80"/>
      </w:rPr>
      <w:t>338</w:t>
    </w:r>
    <w:r w:rsidR="00190035" w:rsidRPr="003E25F6">
      <w:rPr>
        <w:rFonts w:ascii="Times New Roman" w:hAnsi="Times New Roman" w:cs="Times New Roman"/>
        <w:sz w:val="24"/>
        <w:szCs w:val="24"/>
        <w:shd w:val="clear" w:color="auto" w:fill="632423" w:themeFill="accent2" w:themeFillShade="80"/>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E9537" w14:textId="434CBEF8" w:rsidR="00190035" w:rsidRPr="00287E4D" w:rsidRDefault="001B4544" w:rsidP="00E32728">
    <w:pPr>
      <w:pStyle w:val="Header"/>
      <w:shd w:val="clear" w:color="auto" w:fill="632423" w:themeFill="accent2" w:themeFillShade="80"/>
      <w:rPr>
        <w:rFonts w:ascii="Times New Roman" w:hAnsi="Times New Roman" w:cs="Times New Roman"/>
        <w:sz w:val="24"/>
        <w:szCs w:val="24"/>
      </w:rPr>
    </w:pPr>
    <w:r w:rsidRPr="001B4544">
      <w:rPr>
        <w:rFonts w:ascii="Times New Roman" w:hAnsi="Times New Roman" w:cs="Times New Roman"/>
        <w:iCs/>
        <w:color w:val="FFFFFF" w:themeColor="background1"/>
        <w:sz w:val="24"/>
        <w:szCs w:val="24"/>
        <w:shd w:val="clear" w:color="auto" w:fill="632423" w:themeFill="accent2" w:themeFillShade="80"/>
      </w:rPr>
      <w:t>Chauhan</w:t>
    </w:r>
    <w:r w:rsidR="00190035">
      <w:rPr>
        <w:rFonts w:ascii="Times New Roman" w:hAnsi="Times New Roman" w:cs="Times New Roman"/>
        <w:iCs/>
        <w:color w:val="FFFFFF" w:themeColor="background1"/>
        <w:sz w:val="24"/>
        <w:szCs w:val="24"/>
        <w:shd w:val="clear" w:color="auto" w:fill="632423" w:themeFill="accent2" w:themeFillShade="80"/>
      </w:rPr>
      <w:t xml:space="preserve"> </w:t>
    </w:r>
    <w:r w:rsidR="00190035" w:rsidRPr="000F179A">
      <w:rPr>
        <w:rFonts w:ascii="Times New Roman" w:hAnsi="Times New Roman" w:cs="Times New Roman"/>
        <w:i/>
        <w:sz w:val="24"/>
        <w:szCs w:val="24"/>
        <w:shd w:val="clear" w:color="auto" w:fill="632423" w:themeFill="accent2" w:themeFillShade="80"/>
      </w:rPr>
      <w:t>et.</w:t>
    </w:r>
    <w:r w:rsidR="00190035" w:rsidRPr="00C51FEF">
      <w:rPr>
        <w:rFonts w:ascii="Times New Roman" w:hAnsi="Times New Roman" w:cs="Times New Roman"/>
        <w:i/>
        <w:sz w:val="24"/>
        <w:szCs w:val="24"/>
        <w:shd w:val="clear" w:color="auto" w:fill="632423" w:themeFill="accent2" w:themeFillShade="80"/>
      </w:rPr>
      <w:t xml:space="preserve"> al.,</w:t>
    </w:r>
    <w:r w:rsidR="00190035">
      <w:rPr>
        <w:rFonts w:ascii="Times New Roman" w:hAnsi="Times New Roman" w:cs="Times New Roman"/>
        <w:sz w:val="24"/>
        <w:szCs w:val="24"/>
        <w:shd w:val="clear" w:color="auto" w:fill="632423" w:themeFill="accent2" w:themeFillShade="80"/>
      </w:rPr>
      <w:tab/>
    </w:r>
    <w:r w:rsidR="00190035" w:rsidRPr="003E25F6">
      <w:rPr>
        <w:rFonts w:ascii="Times New Roman" w:hAnsi="Times New Roman" w:cs="Times New Roman"/>
        <w:sz w:val="24"/>
        <w:szCs w:val="24"/>
        <w:shd w:val="clear" w:color="auto" w:fill="632423" w:themeFill="accent2" w:themeFillShade="80"/>
      </w:rPr>
      <w:t>Am</w:t>
    </w:r>
    <w:r w:rsidR="00190035">
      <w:rPr>
        <w:rFonts w:ascii="Times New Roman" w:hAnsi="Times New Roman" w:cs="Times New Roman"/>
        <w:sz w:val="24"/>
        <w:szCs w:val="24"/>
        <w:shd w:val="clear" w:color="auto" w:fill="632423" w:themeFill="accent2" w:themeFillShade="80"/>
      </w:rPr>
      <w:t>.</w:t>
    </w:r>
    <w:r w:rsidR="00190035" w:rsidRPr="003E25F6">
      <w:rPr>
        <w:rFonts w:ascii="Times New Roman" w:hAnsi="Times New Roman" w:cs="Times New Roman"/>
        <w:sz w:val="24"/>
        <w:szCs w:val="24"/>
        <w:shd w:val="clear" w:color="auto" w:fill="632423" w:themeFill="accent2" w:themeFillShade="80"/>
      </w:rPr>
      <w:t xml:space="preserve"> J</w:t>
    </w:r>
    <w:r w:rsidR="00190035">
      <w:rPr>
        <w:rFonts w:ascii="Times New Roman" w:hAnsi="Times New Roman" w:cs="Times New Roman"/>
        <w:sz w:val="24"/>
        <w:szCs w:val="24"/>
        <w:shd w:val="clear" w:color="auto" w:fill="632423" w:themeFill="accent2" w:themeFillShade="80"/>
      </w:rPr>
      <w:t xml:space="preserve">. </w:t>
    </w:r>
    <w:r w:rsidR="00190035" w:rsidRPr="003E25F6">
      <w:rPr>
        <w:rFonts w:ascii="Times New Roman" w:hAnsi="Times New Roman" w:cs="Times New Roman"/>
        <w:sz w:val="24"/>
        <w:szCs w:val="24"/>
        <w:shd w:val="clear" w:color="auto" w:fill="632423" w:themeFill="accent2" w:themeFillShade="80"/>
      </w:rPr>
      <w:t>P</w:t>
    </w:r>
    <w:r w:rsidR="00190035">
      <w:rPr>
        <w:rFonts w:ascii="Times New Roman" w:hAnsi="Times New Roman" w:cs="Times New Roman"/>
        <w:sz w:val="24"/>
        <w:szCs w:val="24"/>
        <w:shd w:val="clear" w:color="auto" w:fill="632423" w:themeFill="accent2" w:themeFillShade="80"/>
      </w:rPr>
      <w:t>harmTech Res. 202</w:t>
    </w:r>
    <w:r w:rsidR="00935C56">
      <w:rPr>
        <w:rFonts w:ascii="Times New Roman" w:hAnsi="Times New Roman" w:cs="Times New Roman"/>
        <w:sz w:val="24"/>
        <w:szCs w:val="24"/>
        <w:shd w:val="clear" w:color="auto" w:fill="632423" w:themeFill="accent2" w:themeFillShade="80"/>
      </w:rPr>
      <w:t>6</w:t>
    </w:r>
    <w:r w:rsidR="00190035">
      <w:rPr>
        <w:rFonts w:ascii="Times New Roman" w:hAnsi="Times New Roman" w:cs="Times New Roman"/>
        <w:sz w:val="24"/>
        <w:szCs w:val="24"/>
        <w:shd w:val="clear" w:color="auto" w:fill="632423" w:themeFill="accent2" w:themeFillShade="80"/>
      </w:rPr>
      <w:t>; 1</w:t>
    </w:r>
    <w:r w:rsidR="00935C56">
      <w:rPr>
        <w:rFonts w:ascii="Times New Roman" w:hAnsi="Times New Roman" w:cs="Times New Roman"/>
        <w:sz w:val="24"/>
        <w:szCs w:val="24"/>
        <w:shd w:val="clear" w:color="auto" w:fill="632423" w:themeFill="accent2" w:themeFillShade="80"/>
      </w:rPr>
      <w:t>6</w:t>
    </w:r>
    <w:r w:rsidR="00190035">
      <w:rPr>
        <w:rFonts w:ascii="Times New Roman" w:hAnsi="Times New Roman" w:cs="Times New Roman"/>
        <w:sz w:val="24"/>
        <w:szCs w:val="24"/>
        <w:shd w:val="clear" w:color="auto" w:fill="632423" w:themeFill="accent2" w:themeFillShade="80"/>
      </w:rPr>
      <w:t>(0</w:t>
    </w:r>
    <w:r w:rsidR="00400694">
      <w:rPr>
        <w:rFonts w:ascii="Times New Roman" w:hAnsi="Times New Roman" w:cs="Times New Roman"/>
        <w:sz w:val="24"/>
        <w:szCs w:val="24"/>
        <w:shd w:val="clear" w:color="auto" w:fill="632423" w:themeFill="accent2" w:themeFillShade="80"/>
      </w:rPr>
      <w:t>2</w:t>
    </w:r>
    <w:r w:rsidR="00190035">
      <w:rPr>
        <w:rFonts w:ascii="Times New Roman" w:hAnsi="Times New Roman" w:cs="Times New Roman"/>
        <w:sz w:val="24"/>
        <w:szCs w:val="24"/>
        <w:shd w:val="clear" w:color="auto" w:fill="632423" w:themeFill="accent2" w:themeFillShade="80"/>
      </w:rPr>
      <w:t xml:space="preserve">)    </w:t>
    </w:r>
    <w:r w:rsidR="00190035">
      <w:rPr>
        <w:rFonts w:ascii="Times New Roman" w:hAnsi="Times New Roman" w:cs="Times New Roman"/>
        <w:sz w:val="24"/>
        <w:szCs w:val="24"/>
        <w:shd w:val="clear" w:color="auto" w:fill="632423" w:themeFill="accent2" w:themeFillShade="80"/>
      </w:rPr>
      <w:tab/>
      <w:t>ISSN: 22</w:t>
    </w:r>
    <w:r w:rsidR="00190035" w:rsidRPr="003E25F6">
      <w:rPr>
        <w:rFonts w:ascii="Times New Roman" w:hAnsi="Times New Roman" w:cs="Times New Roman"/>
        <w:sz w:val="24"/>
        <w:szCs w:val="24"/>
        <w:shd w:val="clear" w:color="auto" w:fill="632423" w:themeFill="accent2" w:themeFillShade="80"/>
      </w:rPr>
      <w:t>4</w:t>
    </w:r>
    <w:r w:rsidR="00190035">
      <w:rPr>
        <w:rFonts w:ascii="Times New Roman" w:hAnsi="Times New Roman" w:cs="Times New Roman"/>
        <w:sz w:val="24"/>
        <w:szCs w:val="24"/>
        <w:shd w:val="clear" w:color="auto" w:fill="632423" w:themeFill="accent2" w:themeFillShade="80"/>
      </w:rPr>
      <w:t>9-33</w:t>
    </w:r>
    <w:r w:rsidR="00190035" w:rsidRPr="003E25F6">
      <w:rPr>
        <w:rFonts w:ascii="Times New Roman" w:hAnsi="Times New Roman" w:cs="Times New Roman"/>
        <w:sz w:val="24"/>
        <w:szCs w:val="24"/>
        <w:shd w:val="clear" w:color="auto" w:fill="632423" w:themeFill="accent2" w:themeFillShade="80"/>
      </w:rPr>
      <w:t>8</w:t>
    </w:r>
    <w:r w:rsidR="00190035">
      <w:rPr>
        <w:rFonts w:ascii="Times New Roman" w:hAnsi="Times New Roman" w:cs="Times New Roman"/>
        <w:sz w:val="24"/>
        <w:szCs w:val="24"/>
        <w:shd w:val="clear" w:color="auto" w:fill="632423" w:themeFill="accent2" w:themeFillShade="80"/>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077D1" w14:textId="7164FCDC" w:rsidR="00190035" w:rsidRPr="00165384" w:rsidRDefault="00482840" w:rsidP="00EB06D3">
    <w:pPr>
      <w:pStyle w:val="Header"/>
      <w:shd w:val="clear" w:color="auto" w:fill="632423" w:themeFill="accent2" w:themeFillShade="80"/>
      <w:jc w:val="center"/>
      <w:rPr>
        <w:rFonts w:ascii="Times New Roman" w:hAnsi="Times New Roman" w:cs="Times New Roman"/>
        <w:sz w:val="24"/>
        <w:szCs w:val="24"/>
      </w:rPr>
    </w:pPr>
    <w:r>
      <w:rPr>
        <w:rFonts w:ascii="Times New Roman" w:hAnsi="Times New Roman" w:cs="Times New Roman"/>
        <w:sz w:val="24"/>
        <w:szCs w:val="24"/>
      </w:rPr>
      <w:t xml:space="preserve">RESEARCH </w:t>
    </w:r>
    <w:r w:rsidR="00190035">
      <w:rPr>
        <w:rFonts w:ascii="Times New Roman" w:hAnsi="Times New Roman" w:cs="Times New Roman"/>
        <w:sz w:val="24"/>
        <w:szCs w:val="24"/>
      </w:rPr>
      <w:t>ARTICLE</w:t>
    </w:r>
    <w:r w:rsidR="00190035" w:rsidRPr="008D13C7">
      <w:rPr>
        <w:rFonts w:ascii="Times New Roman" w:hAnsi="Times New Roman" w:cs="Times New Roman"/>
        <w:sz w:val="24"/>
        <w:szCs w:val="24"/>
      </w:rPr>
      <w:tab/>
    </w:r>
    <w:r w:rsidR="00190035">
      <w:rPr>
        <w:rFonts w:ascii="Times New Roman" w:hAnsi="Times New Roman" w:cs="Times New Roman"/>
        <w:sz w:val="24"/>
        <w:szCs w:val="24"/>
      </w:rPr>
      <w:t>Am. J. PharmTech Res. 202</w:t>
    </w:r>
    <w:r w:rsidR="00935C56">
      <w:rPr>
        <w:rFonts w:ascii="Times New Roman" w:hAnsi="Times New Roman" w:cs="Times New Roman"/>
        <w:sz w:val="24"/>
        <w:szCs w:val="24"/>
      </w:rPr>
      <w:t>6</w:t>
    </w:r>
    <w:r w:rsidR="00190035">
      <w:rPr>
        <w:rFonts w:ascii="Times New Roman" w:hAnsi="Times New Roman" w:cs="Times New Roman"/>
        <w:sz w:val="24"/>
        <w:szCs w:val="24"/>
      </w:rPr>
      <w:t>; 1</w:t>
    </w:r>
    <w:r w:rsidR="00935C56">
      <w:rPr>
        <w:rFonts w:ascii="Times New Roman" w:hAnsi="Times New Roman" w:cs="Times New Roman"/>
        <w:sz w:val="24"/>
        <w:szCs w:val="24"/>
      </w:rPr>
      <w:t>6</w:t>
    </w:r>
    <w:r w:rsidR="00190035">
      <w:rPr>
        <w:rFonts w:ascii="Times New Roman" w:hAnsi="Times New Roman" w:cs="Times New Roman"/>
        <w:sz w:val="24"/>
        <w:szCs w:val="24"/>
      </w:rPr>
      <w:t>(</w:t>
    </w:r>
    <w:r w:rsidR="00DE4A2A">
      <w:rPr>
        <w:rFonts w:ascii="Times New Roman" w:hAnsi="Times New Roman" w:cs="Times New Roman"/>
        <w:sz w:val="24"/>
        <w:szCs w:val="24"/>
      </w:rPr>
      <w:t>0</w:t>
    </w:r>
    <w:r w:rsidR="00400694">
      <w:rPr>
        <w:rFonts w:ascii="Times New Roman" w:hAnsi="Times New Roman" w:cs="Times New Roman"/>
        <w:sz w:val="24"/>
        <w:szCs w:val="24"/>
      </w:rPr>
      <w:t>2</w:t>
    </w:r>
    <w:r w:rsidR="00190035">
      <w:rPr>
        <w:rFonts w:ascii="Times New Roman" w:hAnsi="Times New Roman" w:cs="Times New Roman"/>
        <w:sz w:val="24"/>
        <w:szCs w:val="24"/>
      </w:rPr>
      <w:t>)</w:t>
    </w:r>
    <w:r w:rsidR="00190035" w:rsidRPr="008D13C7">
      <w:rPr>
        <w:rFonts w:ascii="Times New Roman" w:hAnsi="Times New Roman" w:cs="Times New Roman"/>
        <w:sz w:val="24"/>
        <w:szCs w:val="24"/>
      </w:rPr>
      <w:tab/>
      <w:t xml:space="preserve">ISSN: </w:t>
    </w:r>
    <w:r w:rsidR="00190035">
      <w:rPr>
        <w:rFonts w:ascii="Times New Roman" w:hAnsi="Times New Roman" w:cs="Times New Roman"/>
        <w:sz w:val="24"/>
        <w:szCs w:val="24"/>
      </w:rPr>
      <w:t>22</w:t>
    </w:r>
    <w:r w:rsidR="00190035" w:rsidRPr="008D13C7">
      <w:rPr>
        <w:rFonts w:ascii="Times New Roman" w:hAnsi="Times New Roman" w:cs="Times New Roman"/>
        <w:sz w:val="24"/>
        <w:szCs w:val="24"/>
      </w:rPr>
      <w:t>4</w:t>
    </w:r>
    <w:r w:rsidR="00190035">
      <w:rPr>
        <w:rFonts w:ascii="Times New Roman" w:hAnsi="Times New Roman" w:cs="Times New Roman"/>
        <w:sz w:val="24"/>
        <w:szCs w:val="24"/>
      </w:rPr>
      <w:t>9</w:t>
    </w:r>
    <w:r w:rsidR="00190035" w:rsidRPr="008D13C7">
      <w:rPr>
        <w:rFonts w:ascii="Times New Roman" w:hAnsi="Times New Roman" w:cs="Times New Roman"/>
        <w:sz w:val="24"/>
        <w:szCs w:val="24"/>
      </w:rPr>
      <w:t>-</w:t>
    </w:r>
    <w:r w:rsidR="00190035">
      <w:rPr>
        <w:rFonts w:ascii="Times New Roman" w:hAnsi="Times New Roman" w:cs="Times New Roman"/>
        <w:sz w:val="24"/>
        <w:szCs w:val="24"/>
      </w:rPr>
      <w:t>338</w:t>
    </w:r>
    <w:r w:rsidR="00190035" w:rsidRPr="008D13C7">
      <w:rPr>
        <w:rFonts w:ascii="Times New Roman" w:hAnsi="Times New Roman" w:cs="Times New Roman"/>
        <w:sz w:val="24"/>
        <w:szCs w:val="24"/>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551F0"/>
    <w:multiLevelType w:val="hybridMultilevel"/>
    <w:tmpl w:val="678AB90E"/>
    <w:lvl w:ilvl="0" w:tplc="04090011">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4B7232"/>
    <w:multiLevelType w:val="hybridMultilevel"/>
    <w:tmpl w:val="AA502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61CE3"/>
    <w:multiLevelType w:val="hybridMultilevel"/>
    <w:tmpl w:val="C4E87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91F54"/>
    <w:multiLevelType w:val="hybridMultilevel"/>
    <w:tmpl w:val="2D92B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293341"/>
    <w:multiLevelType w:val="hybridMultilevel"/>
    <w:tmpl w:val="FE6E65B4"/>
    <w:name w:val="WW8Num2"/>
    <w:lvl w:ilvl="0" w:tplc="FE1AF95A">
      <w:start w:val="1"/>
      <w:numFmt w:val="decimal"/>
      <w:lvlText w:val="%1."/>
      <w:lvlJc w:val="left"/>
      <w:pPr>
        <w:ind w:left="720" w:hanging="360"/>
      </w:pPr>
    </w:lvl>
    <w:lvl w:ilvl="1" w:tplc="75BE9372" w:tentative="1">
      <w:start w:val="1"/>
      <w:numFmt w:val="lowerLetter"/>
      <w:lvlText w:val="%2."/>
      <w:lvlJc w:val="left"/>
      <w:pPr>
        <w:ind w:left="1440" w:hanging="360"/>
      </w:pPr>
    </w:lvl>
    <w:lvl w:ilvl="2" w:tplc="F586D418" w:tentative="1">
      <w:start w:val="1"/>
      <w:numFmt w:val="lowerRoman"/>
      <w:lvlText w:val="%3."/>
      <w:lvlJc w:val="right"/>
      <w:pPr>
        <w:ind w:left="2160" w:hanging="180"/>
      </w:pPr>
    </w:lvl>
    <w:lvl w:ilvl="3" w:tplc="4A7600EC" w:tentative="1">
      <w:start w:val="1"/>
      <w:numFmt w:val="decimal"/>
      <w:lvlText w:val="%4."/>
      <w:lvlJc w:val="left"/>
      <w:pPr>
        <w:ind w:left="2880" w:hanging="360"/>
      </w:pPr>
    </w:lvl>
    <w:lvl w:ilvl="4" w:tplc="DA2A3780" w:tentative="1">
      <w:start w:val="1"/>
      <w:numFmt w:val="lowerLetter"/>
      <w:lvlText w:val="%5."/>
      <w:lvlJc w:val="left"/>
      <w:pPr>
        <w:ind w:left="3600" w:hanging="360"/>
      </w:pPr>
    </w:lvl>
    <w:lvl w:ilvl="5" w:tplc="8474E9C2" w:tentative="1">
      <w:start w:val="1"/>
      <w:numFmt w:val="lowerRoman"/>
      <w:lvlText w:val="%6."/>
      <w:lvlJc w:val="right"/>
      <w:pPr>
        <w:ind w:left="4320" w:hanging="180"/>
      </w:pPr>
    </w:lvl>
    <w:lvl w:ilvl="6" w:tplc="73003C32" w:tentative="1">
      <w:start w:val="1"/>
      <w:numFmt w:val="decimal"/>
      <w:lvlText w:val="%7."/>
      <w:lvlJc w:val="left"/>
      <w:pPr>
        <w:ind w:left="5040" w:hanging="360"/>
      </w:pPr>
    </w:lvl>
    <w:lvl w:ilvl="7" w:tplc="D8281F84" w:tentative="1">
      <w:start w:val="1"/>
      <w:numFmt w:val="lowerLetter"/>
      <w:lvlText w:val="%8."/>
      <w:lvlJc w:val="left"/>
      <w:pPr>
        <w:ind w:left="5760" w:hanging="360"/>
      </w:pPr>
    </w:lvl>
    <w:lvl w:ilvl="8" w:tplc="50DEEA5A" w:tentative="1">
      <w:start w:val="1"/>
      <w:numFmt w:val="lowerRoman"/>
      <w:lvlText w:val="%9."/>
      <w:lvlJc w:val="right"/>
      <w:pPr>
        <w:ind w:left="6480" w:hanging="180"/>
      </w:pPr>
    </w:lvl>
  </w:abstractNum>
  <w:abstractNum w:abstractNumId="5" w15:restartNumberingAfterBreak="0">
    <w:nsid w:val="1CF811B5"/>
    <w:multiLevelType w:val="hybridMultilevel"/>
    <w:tmpl w:val="0502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47910"/>
    <w:multiLevelType w:val="hybridMultilevel"/>
    <w:tmpl w:val="751AD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762AAB"/>
    <w:multiLevelType w:val="hybridMultilevel"/>
    <w:tmpl w:val="5D481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C25A4C"/>
    <w:multiLevelType w:val="hybridMultilevel"/>
    <w:tmpl w:val="26E4403C"/>
    <w:lvl w:ilvl="0" w:tplc="C1F8DF2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565E66"/>
    <w:multiLevelType w:val="hybridMultilevel"/>
    <w:tmpl w:val="43EE637C"/>
    <w:lvl w:ilvl="0" w:tplc="02F24F98">
      <w:numFmt w:val="bullet"/>
      <w:pStyle w:val="NormalblackJustified"/>
      <w:lvlText w:val=""/>
      <w:lvlJc w:val="left"/>
      <w:pPr>
        <w:tabs>
          <w:tab w:val="num" w:pos="540"/>
        </w:tabs>
        <w:ind w:left="540" w:hanging="360"/>
      </w:pPr>
      <w:rPr>
        <w:rFonts w:ascii="Wingdings" w:hAnsi="Wingdings" w:cs="Times New Roman" w:hint="default"/>
        <w:b w:val="0"/>
        <w:i w:val="0"/>
        <w:sz w:val="26"/>
        <w:szCs w:val="2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FB763D"/>
    <w:multiLevelType w:val="hybridMultilevel"/>
    <w:tmpl w:val="B052BE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695125E"/>
    <w:multiLevelType w:val="hybridMultilevel"/>
    <w:tmpl w:val="B0100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483219"/>
    <w:multiLevelType w:val="hybridMultilevel"/>
    <w:tmpl w:val="44F02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CC581B"/>
    <w:multiLevelType w:val="hybridMultilevel"/>
    <w:tmpl w:val="B40A981C"/>
    <w:lvl w:ilvl="0" w:tplc="FFFFFFFF">
      <w:start w:val="1"/>
      <w:numFmt w:val="decimal"/>
      <w:lvlText w:val="%1."/>
      <w:lvlJc w:val="left"/>
      <w:pPr>
        <w:ind w:left="720" w:hanging="360"/>
      </w:pPr>
      <w:rPr>
        <w:rFonts w:ascii="Arial" w:hAnsi="Arial" w:cs="Arial"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AE74C95"/>
    <w:multiLevelType w:val="hybridMultilevel"/>
    <w:tmpl w:val="61F42B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28F6FA4"/>
    <w:multiLevelType w:val="hybridMultilevel"/>
    <w:tmpl w:val="61660E1E"/>
    <w:lvl w:ilvl="0" w:tplc="EF8A03E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6A20C8"/>
    <w:multiLevelType w:val="hybridMultilevel"/>
    <w:tmpl w:val="459284E6"/>
    <w:lvl w:ilvl="0" w:tplc="927AEC5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A0F1901"/>
    <w:multiLevelType w:val="hybridMultilevel"/>
    <w:tmpl w:val="DCFC5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DE3F26"/>
    <w:multiLevelType w:val="hybridMultilevel"/>
    <w:tmpl w:val="791ED4D8"/>
    <w:lvl w:ilvl="0" w:tplc="0409000F">
      <w:start w:val="1"/>
      <w:numFmt w:val="decimal"/>
      <w:pStyle w:val="ListBullet"/>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E06D5D"/>
    <w:multiLevelType w:val="hybridMultilevel"/>
    <w:tmpl w:val="D076E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D502DE"/>
    <w:multiLevelType w:val="hybridMultilevel"/>
    <w:tmpl w:val="94B0A8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F8D1CE8"/>
    <w:multiLevelType w:val="hybridMultilevel"/>
    <w:tmpl w:val="5F9084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520316891">
    <w:abstractNumId w:val="18"/>
  </w:num>
  <w:num w:numId="2" w16cid:durableId="11693318">
    <w:abstractNumId w:val="9"/>
  </w:num>
  <w:num w:numId="3" w16cid:durableId="120844976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4955516">
    <w:abstractNumId w:val="6"/>
  </w:num>
  <w:num w:numId="5" w16cid:durableId="2026244113">
    <w:abstractNumId w:val="3"/>
  </w:num>
  <w:num w:numId="6" w16cid:durableId="2078479167">
    <w:abstractNumId w:val="14"/>
  </w:num>
  <w:num w:numId="7" w16cid:durableId="1911378839">
    <w:abstractNumId w:val="5"/>
  </w:num>
  <w:num w:numId="8" w16cid:durableId="628709985">
    <w:abstractNumId w:val="2"/>
  </w:num>
  <w:num w:numId="9" w16cid:durableId="362441744">
    <w:abstractNumId w:val="20"/>
  </w:num>
  <w:num w:numId="10" w16cid:durableId="1224102818">
    <w:abstractNumId w:val="16"/>
  </w:num>
  <w:num w:numId="11" w16cid:durableId="568003984">
    <w:abstractNumId w:val="21"/>
  </w:num>
  <w:num w:numId="12" w16cid:durableId="163476522">
    <w:abstractNumId w:val="15"/>
  </w:num>
  <w:num w:numId="13" w16cid:durableId="28534195">
    <w:abstractNumId w:val="13"/>
  </w:num>
  <w:num w:numId="14" w16cid:durableId="2069647975">
    <w:abstractNumId w:val="8"/>
  </w:num>
  <w:num w:numId="15" w16cid:durableId="34694210">
    <w:abstractNumId w:val="0"/>
  </w:num>
  <w:num w:numId="16" w16cid:durableId="2106731503">
    <w:abstractNumId w:val="12"/>
  </w:num>
  <w:num w:numId="17" w16cid:durableId="1350763966">
    <w:abstractNumId w:val="1"/>
  </w:num>
  <w:num w:numId="18" w16cid:durableId="1285504574">
    <w:abstractNumId w:val="7"/>
  </w:num>
  <w:num w:numId="19" w16cid:durableId="327366631">
    <w:abstractNumId w:val="17"/>
  </w:num>
  <w:num w:numId="20" w16cid:durableId="14312875">
    <w:abstractNumId w:val="19"/>
  </w:num>
  <w:num w:numId="21" w16cid:durableId="322703443">
    <w:abstractNumId w:val="11"/>
  </w:num>
  <w:num w:numId="22" w16cid:durableId="644235930">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2DAB"/>
    <w:rsid w:val="00000C16"/>
    <w:rsid w:val="00001435"/>
    <w:rsid w:val="00001669"/>
    <w:rsid w:val="00002FC5"/>
    <w:rsid w:val="00003218"/>
    <w:rsid w:val="000032DF"/>
    <w:rsid w:val="000035DF"/>
    <w:rsid w:val="00003C6C"/>
    <w:rsid w:val="00004044"/>
    <w:rsid w:val="0000404A"/>
    <w:rsid w:val="000044DD"/>
    <w:rsid w:val="00004C51"/>
    <w:rsid w:val="00004F5A"/>
    <w:rsid w:val="000055B4"/>
    <w:rsid w:val="00005776"/>
    <w:rsid w:val="0000738D"/>
    <w:rsid w:val="000076CC"/>
    <w:rsid w:val="0001050C"/>
    <w:rsid w:val="000107FB"/>
    <w:rsid w:val="000117A5"/>
    <w:rsid w:val="0001180B"/>
    <w:rsid w:val="000120DF"/>
    <w:rsid w:val="0001278E"/>
    <w:rsid w:val="00012BDC"/>
    <w:rsid w:val="00013BC7"/>
    <w:rsid w:val="0001403B"/>
    <w:rsid w:val="0001543C"/>
    <w:rsid w:val="0001601A"/>
    <w:rsid w:val="00016404"/>
    <w:rsid w:val="00016AC8"/>
    <w:rsid w:val="00016B81"/>
    <w:rsid w:val="00017A41"/>
    <w:rsid w:val="00020AD0"/>
    <w:rsid w:val="00021711"/>
    <w:rsid w:val="00023562"/>
    <w:rsid w:val="00023C61"/>
    <w:rsid w:val="000247BF"/>
    <w:rsid w:val="000250FF"/>
    <w:rsid w:val="000256FC"/>
    <w:rsid w:val="00025A15"/>
    <w:rsid w:val="00025F26"/>
    <w:rsid w:val="00026AE0"/>
    <w:rsid w:val="00031D94"/>
    <w:rsid w:val="00032E41"/>
    <w:rsid w:val="00033176"/>
    <w:rsid w:val="00033E5C"/>
    <w:rsid w:val="00035293"/>
    <w:rsid w:val="000352AF"/>
    <w:rsid w:val="000357D5"/>
    <w:rsid w:val="00035DD9"/>
    <w:rsid w:val="00036774"/>
    <w:rsid w:val="00036A5E"/>
    <w:rsid w:val="00036C9C"/>
    <w:rsid w:val="00036E70"/>
    <w:rsid w:val="00037302"/>
    <w:rsid w:val="00037326"/>
    <w:rsid w:val="00037F36"/>
    <w:rsid w:val="000405A0"/>
    <w:rsid w:val="00040C6C"/>
    <w:rsid w:val="00042683"/>
    <w:rsid w:val="00042848"/>
    <w:rsid w:val="00042D35"/>
    <w:rsid w:val="00043E3F"/>
    <w:rsid w:val="00043EE1"/>
    <w:rsid w:val="0004463A"/>
    <w:rsid w:val="00044A5B"/>
    <w:rsid w:val="00045BF6"/>
    <w:rsid w:val="00045CC4"/>
    <w:rsid w:val="00047857"/>
    <w:rsid w:val="00051CB2"/>
    <w:rsid w:val="00051E3E"/>
    <w:rsid w:val="00052206"/>
    <w:rsid w:val="000533DF"/>
    <w:rsid w:val="000537CA"/>
    <w:rsid w:val="0005380A"/>
    <w:rsid w:val="000541A2"/>
    <w:rsid w:val="000543A7"/>
    <w:rsid w:val="00054B7D"/>
    <w:rsid w:val="00054D97"/>
    <w:rsid w:val="000553EE"/>
    <w:rsid w:val="00055FDD"/>
    <w:rsid w:val="00056711"/>
    <w:rsid w:val="00056B76"/>
    <w:rsid w:val="00057640"/>
    <w:rsid w:val="00057AA6"/>
    <w:rsid w:val="00057D34"/>
    <w:rsid w:val="00060538"/>
    <w:rsid w:val="0006111E"/>
    <w:rsid w:val="0006175B"/>
    <w:rsid w:val="00062151"/>
    <w:rsid w:val="00062FE5"/>
    <w:rsid w:val="0006344B"/>
    <w:rsid w:val="000644A9"/>
    <w:rsid w:val="000646CB"/>
    <w:rsid w:val="000650E4"/>
    <w:rsid w:val="00065C62"/>
    <w:rsid w:val="00066243"/>
    <w:rsid w:val="000676CB"/>
    <w:rsid w:val="00067BE0"/>
    <w:rsid w:val="00067CA3"/>
    <w:rsid w:val="00067EC4"/>
    <w:rsid w:val="00067ED5"/>
    <w:rsid w:val="000704D1"/>
    <w:rsid w:val="00070719"/>
    <w:rsid w:val="00071409"/>
    <w:rsid w:val="000725EC"/>
    <w:rsid w:val="00072FEE"/>
    <w:rsid w:val="000732FB"/>
    <w:rsid w:val="000735AA"/>
    <w:rsid w:val="0007364F"/>
    <w:rsid w:val="000742CD"/>
    <w:rsid w:val="00074B88"/>
    <w:rsid w:val="00075798"/>
    <w:rsid w:val="000758F7"/>
    <w:rsid w:val="00075D90"/>
    <w:rsid w:val="00076710"/>
    <w:rsid w:val="000769C9"/>
    <w:rsid w:val="00077D6E"/>
    <w:rsid w:val="00077D93"/>
    <w:rsid w:val="000805A7"/>
    <w:rsid w:val="0008127E"/>
    <w:rsid w:val="000826A9"/>
    <w:rsid w:val="00082D6B"/>
    <w:rsid w:val="00082FAB"/>
    <w:rsid w:val="000834B7"/>
    <w:rsid w:val="00083F67"/>
    <w:rsid w:val="0008404F"/>
    <w:rsid w:val="000846A6"/>
    <w:rsid w:val="00084999"/>
    <w:rsid w:val="00085BC5"/>
    <w:rsid w:val="00087891"/>
    <w:rsid w:val="00090C95"/>
    <w:rsid w:val="00091287"/>
    <w:rsid w:val="0009218F"/>
    <w:rsid w:val="00092C49"/>
    <w:rsid w:val="0009351D"/>
    <w:rsid w:val="00094860"/>
    <w:rsid w:val="00094F7A"/>
    <w:rsid w:val="000951C5"/>
    <w:rsid w:val="00095AB3"/>
    <w:rsid w:val="00095B2E"/>
    <w:rsid w:val="00096AE8"/>
    <w:rsid w:val="00097130"/>
    <w:rsid w:val="00097212"/>
    <w:rsid w:val="00097D3D"/>
    <w:rsid w:val="00097D85"/>
    <w:rsid w:val="000A090E"/>
    <w:rsid w:val="000A1088"/>
    <w:rsid w:val="000A208A"/>
    <w:rsid w:val="000A2B9B"/>
    <w:rsid w:val="000A2E37"/>
    <w:rsid w:val="000A3541"/>
    <w:rsid w:val="000A3B1E"/>
    <w:rsid w:val="000A3F0F"/>
    <w:rsid w:val="000A5A49"/>
    <w:rsid w:val="000A5D70"/>
    <w:rsid w:val="000A6467"/>
    <w:rsid w:val="000A667C"/>
    <w:rsid w:val="000A7A86"/>
    <w:rsid w:val="000B014A"/>
    <w:rsid w:val="000B09B2"/>
    <w:rsid w:val="000B13CD"/>
    <w:rsid w:val="000B1F5E"/>
    <w:rsid w:val="000B21EB"/>
    <w:rsid w:val="000B2F48"/>
    <w:rsid w:val="000B3A96"/>
    <w:rsid w:val="000B4C85"/>
    <w:rsid w:val="000B5EB4"/>
    <w:rsid w:val="000B765F"/>
    <w:rsid w:val="000B7DBF"/>
    <w:rsid w:val="000C09B2"/>
    <w:rsid w:val="000C1C51"/>
    <w:rsid w:val="000C1C95"/>
    <w:rsid w:val="000C1D8E"/>
    <w:rsid w:val="000C37F0"/>
    <w:rsid w:val="000C3852"/>
    <w:rsid w:val="000C3C60"/>
    <w:rsid w:val="000C3D21"/>
    <w:rsid w:val="000C43AD"/>
    <w:rsid w:val="000C5D62"/>
    <w:rsid w:val="000C6BCA"/>
    <w:rsid w:val="000C6CB6"/>
    <w:rsid w:val="000C70E1"/>
    <w:rsid w:val="000C736F"/>
    <w:rsid w:val="000C7F37"/>
    <w:rsid w:val="000D02A8"/>
    <w:rsid w:val="000D1356"/>
    <w:rsid w:val="000D17EE"/>
    <w:rsid w:val="000D1839"/>
    <w:rsid w:val="000D39B0"/>
    <w:rsid w:val="000D3CEB"/>
    <w:rsid w:val="000D40E7"/>
    <w:rsid w:val="000D4AD7"/>
    <w:rsid w:val="000D4B12"/>
    <w:rsid w:val="000D50FC"/>
    <w:rsid w:val="000D58AF"/>
    <w:rsid w:val="000D5C0C"/>
    <w:rsid w:val="000D5E1C"/>
    <w:rsid w:val="000D62E0"/>
    <w:rsid w:val="000D68DD"/>
    <w:rsid w:val="000D6BA5"/>
    <w:rsid w:val="000D7995"/>
    <w:rsid w:val="000D7E2B"/>
    <w:rsid w:val="000E1D3D"/>
    <w:rsid w:val="000E2B3D"/>
    <w:rsid w:val="000E2D88"/>
    <w:rsid w:val="000E37F3"/>
    <w:rsid w:val="000E3991"/>
    <w:rsid w:val="000E3FAF"/>
    <w:rsid w:val="000E53E0"/>
    <w:rsid w:val="000E67C8"/>
    <w:rsid w:val="000E6B29"/>
    <w:rsid w:val="000E7075"/>
    <w:rsid w:val="000E743C"/>
    <w:rsid w:val="000E75A7"/>
    <w:rsid w:val="000F0712"/>
    <w:rsid w:val="000F10A3"/>
    <w:rsid w:val="000F1194"/>
    <w:rsid w:val="000F179A"/>
    <w:rsid w:val="000F214C"/>
    <w:rsid w:val="000F25CE"/>
    <w:rsid w:val="000F2706"/>
    <w:rsid w:val="000F2CC6"/>
    <w:rsid w:val="000F2E67"/>
    <w:rsid w:val="000F3275"/>
    <w:rsid w:val="000F33C3"/>
    <w:rsid w:val="000F390E"/>
    <w:rsid w:val="000F4218"/>
    <w:rsid w:val="000F4A23"/>
    <w:rsid w:val="000F4BC5"/>
    <w:rsid w:val="000F50E2"/>
    <w:rsid w:val="000F53DE"/>
    <w:rsid w:val="000F5923"/>
    <w:rsid w:val="000F59BB"/>
    <w:rsid w:val="000F62CC"/>
    <w:rsid w:val="000F6C9B"/>
    <w:rsid w:val="000F7244"/>
    <w:rsid w:val="000F777E"/>
    <w:rsid w:val="001000EB"/>
    <w:rsid w:val="00100264"/>
    <w:rsid w:val="00100FFE"/>
    <w:rsid w:val="00101B50"/>
    <w:rsid w:val="001026B9"/>
    <w:rsid w:val="001026EF"/>
    <w:rsid w:val="00102918"/>
    <w:rsid w:val="00103145"/>
    <w:rsid w:val="00104E26"/>
    <w:rsid w:val="00104F4E"/>
    <w:rsid w:val="00105203"/>
    <w:rsid w:val="001057B3"/>
    <w:rsid w:val="00106D66"/>
    <w:rsid w:val="00107629"/>
    <w:rsid w:val="00111C0F"/>
    <w:rsid w:val="00112253"/>
    <w:rsid w:val="0011232F"/>
    <w:rsid w:val="00112808"/>
    <w:rsid w:val="001128F2"/>
    <w:rsid w:val="00112BC6"/>
    <w:rsid w:val="00112DE4"/>
    <w:rsid w:val="00113452"/>
    <w:rsid w:val="0011369A"/>
    <w:rsid w:val="00113857"/>
    <w:rsid w:val="00113859"/>
    <w:rsid w:val="00113D55"/>
    <w:rsid w:val="001147BF"/>
    <w:rsid w:val="0011533A"/>
    <w:rsid w:val="001156CD"/>
    <w:rsid w:val="00115740"/>
    <w:rsid w:val="00115833"/>
    <w:rsid w:val="00115856"/>
    <w:rsid w:val="00116005"/>
    <w:rsid w:val="00117B95"/>
    <w:rsid w:val="00117DC5"/>
    <w:rsid w:val="00120742"/>
    <w:rsid w:val="00120838"/>
    <w:rsid w:val="00120FBA"/>
    <w:rsid w:val="00121006"/>
    <w:rsid w:val="0012219A"/>
    <w:rsid w:val="0012219B"/>
    <w:rsid w:val="00122449"/>
    <w:rsid w:val="001228D1"/>
    <w:rsid w:val="00123CC0"/>
    <w:rsid w:val="00123F3B"/>
    <w:rsid w:val="001245AC"/>
    <w:rsid w:val="00125575"/>
    <w:rsid w:val="00125E69"/>
    <w:rsid w:val="001264CA"/>
    <w:rsid w:val="001265A2"/>
    <w:rsid w:val="00126709"/>
    <w:rsid w:val="00127238"/>
    <w:rsid w:val="00127C95"/>
    <w:rsid w:val="001301F9"/>
    <w:rsid w:val="0013023F"/>
    <w:rsid w:val="001310FB"/>
    <w:rsid w:val="00131C2F"/>
    <w:rsid w:val="00131E10"/>
    <w:rsid w:val="00132391"/>
    <w:rsid w:val="001324A2"/>
    <w:rsid w:val="001328C0"/>
    <w:rsid w:val="00132DAB"/>
    <w:rsid w:val="0013318B"/>
    <w:rsid w:val="0013340B"/>
    <w:rsid w:val="00133629"/>
    <w:rsid w:val="00133EE8"/>
    <w:rsid w:val="00134044"/>
    <w:rsid w:val="001347F6"/>
    <w:rsid w:val="001353E8"/>
    <w:rsid w:val="00135AD0"/>
    <w:rsid w:val="00135CE1"/>
    <w:rsid w:val="00136086"/>
    <w:rsid w:val="001367A9"/>
    <w:rsid w:val="00136D16"/>
    <w:rsid w:val="0013748E"/>
    <w:rsid w:val="0013749C"/>
    <w:rsid w:val="0013783C"/>
    <w:rsid w:val="0013795E"/>
    <w:rsid w:val="00137B07"/>
    <w:rsid w:val="00140781"/>
    <w:rsid w:val="00140881"/>
    <w:rsid w:val="00140A8D"/>
    <w:rsid w:val="00140CE2"/>
    <w:rsid w:val="00140F32"/>
    <w:rsid w:val="001415EA"/>
    <w:rsid w:val="001427E2"/>
    <w:rsid w:val="00142817"/>
    <w:rsid w:val="001430F3"/>
    <w:rsid w:val="00143D0C"/>
    <w:rsid w:val="00143EF5"/>
    <w:rsid w:val="0014523F"/>
    <w:rsid w:val="00147249"/>
    <w:rsid w:val="00147AEC"/>
    <w:rsid w:val="00147B34"/>
    <w:rsid w:val="001501D5"/>
    <w:rsid w:val="00151777"/>
    <w:rsid w:val="0015211F"/>
    <w:rsid w:val="00153AA4"/>
    <w:rsid w:val="00154487"/>
    <w:rsid w:val="001552B9"/>
    <w:rsid w:val="001556DF"/>
    <w:rsid w:val="00155B6A"/>
    <w:rsid w:val="001562CC"/>
    <w:rsid w:val="00156450"/>
    <w:rsid w:val="00156E80"/>
    <w:rsid w:val="0015799F"/>
    <w:rsid w:val="001579D3"/>
    <w:rsid w:val="00157ECF"/>
    <w:rsid w:val="00160347"/>
    <w:rsid w:val="001605AE"/>
    <w:rsid w:val="001606FF"/>
    <w:rsid w:val="00160D04"/>
    <w:rsid w:val="00161D6D"/>
    <w:rsid w:val="0016227F"/>
    <w:rsid w:val="0016235D"/>
    <w:rsid w:val="00162788"/>
    <w:rsid w:val="00162C77"/>
    <w:rsid w:val="001631F1"/>
    <w:rsid w:val="001634B2"/>
    <w:rsid w:val="00163796"/>
    <w:rsid w:val="00164017"/>
    <w:rsid w:val="0016508F"/>
    <w:rsid w:val="00165384"/>
    <w:rsid w:val="00165551"/>
    <w:rsid w:val="001657A6"/>
    <w:rsid w:val="00166039"/>
    <w:rsid w:val="00166435"/>
    <w:rsid w:val="001675E9"/>
    <w:rsid w:val="00170083"/>
    <w:rsid w:val="00171394"/>
    <w:rsid w:val="0017182A"/>
    <w:rsid w:val="00171DE9"/>
    <w:rsid w:val="00172031"/>
    <w:rsid w:val="00172987"/>
    <w:rsid w:val="001739CA"/>
    <w:rsid w:val="0017478A"/>
    <w:rsid w:val="00174DAF"/>
    <w:rsid w:val="00174DBC"/>
    <w:rsid w:val="00174FC3"/>
    <w:rsid w:val="001755BC"/>
    <w:rsid w:val="00175762"/>
    <w:rsid w:val="00175C65"/>
    <w:rsid w:val="0017618D"/>
    <w:rsid w:val="00177201"/>
    <w:rsid w:val="001775F4"/>
    <w:rsid w:val="00180DDD"/>
    <w:rsid w:val="00181B8B"/>
    <w:rsid w:val="0018325F"/>
    <w:rsid w:val="00184650"/>
    <w:rsid w:val="00185E8E"/>
    <w:rsid w:val="00186067"/>
    <w:rsid w:val="001860B0"/>
    <w:rsid w:val="00187973"/>
    <w:rsid w:val="00187E57"/>
    <w:rsid w:val="00190035"/>
    <w:rsid w:val="001901B7"/>
    <w:rsid w:val="00190E15"/>
    <w:rsid w:val="0019164A"/>
    <w:rsid w:val="0019169E"/>
    <w:rsid w:val="00191941"/>
    <w:rsid w:val="00192002"/>
    <w:rsid w:val="00193203"/>
    <w:rsid w:val="00193DA8"/>
    <w:rsid w:val="00193DE5"/>
    <w:rsid w:val="0019486F"/>
    <w:rsid w:val="00195464"/>
    <w:rsid w:val="001955ED"/>
    <w:rsid w:val="00195D3F"/>
    <w:rsid w:val="001960E6"/>
    <w:rsid w:val="001962FA"/>
    <w:rsid w:val="001969B4"/>
    <w:rsid w:val="00196F5F"/>
    <w:rsid w:val="00197E25"/>
    <w:rsid w:val="00197E8F"/>
    <w:rsid w:val="001A088E"/>
    <w:rsid w:val="001A0A50"/>
    <w:rsid w:val="001A1683"/>
    <w:rsid w:val="001A183A"/>
    <w:rsid w:val="001A1F4C"/>
    <w:rsid w:val="001A2C62"/>
    <w:rsid w:val="001A2E44"/>
    <w:rsid w:val="001A2F74"/>
    <w:rsid w:val="001A376B"/>
    <w:rsid w:val="001A3ED0"/>
    <w:rsid w:val="001A49C5"/>
    <w:rsid w:val="001A4A48"/>
    <w:rsid w:val="001A4D27"/>
    <w:rsid w:val="001A4EA7"/>
    <w:rsid w:val="001A514C"/>
    <w:rsid w:val="001A5655"/>
    <w:rsid w:val="001A5CAE"/>
    <w:rsid w:val="001A6360"/>
    <w:rsid w:val="001A69B5"/>
    <w:rsid w:val="001A6EBC"/>
    <w:rsid w:val="001A725E"/>
    <w:rsid w:val="001A747D"/>
    <w:rsid w:val="001A74E4"/>
    <w:rsid w:val="001A77D2"/>
    <w:rsid w:val="001A790F"/>
    <w:rsid w:val="001B058F"/>
    <w:rsid w:val="001B14DD"/>
    <w:rsid w:val="001B1654"/>
    <w:rsid w:val="001B24F8"/>
    <w:rsid w:val="001B2651"/>
    <w:rsid w:val="001B2F3B"/>
    <w:rsid w:val="001B31C2"/>
    <w:rsid w:val="001B3CFC"/>
    <w:rsid w:val="001B3DFF"/>
    <w:rsid w:val="001B3E3B"/>
    <w:rsid w:val="001B4544"/>
    <w:rsid w:val="001B4739"/>
    <w:rsid w:val="001B513A"/>
    <w:rsid w:val="001B5859"/>
    <w:rsid w:val="001B5AD9"/>
    <w:rsid w:val="001B616C"/>
    <w:rsid w:val="001B647C"/>
    <w:rsid w:val="001B68CD"/>
    <w:rsid w:val="001B6BC9"/>
    <w:rsid w:val="001B6DD6"/>
    <w:rsid w:val="001B71FD"/>
    <w:rsid w:val="001C02B8"/>
    <w:rsid w:val="001C1DE2"/>
    <w:rsid w:val="001C2071"/>
    <w:rsid w:val="001C22D4"/>
    <w:rsid w:val="001C2A08"/>
    <w:rsid w:val="001C3EB8"/>
    <w:rsid w:val="001C420D"/>
    <w:rsid w:val="001C46BE"/>
    <w:rsid w:val="001C48AE"/>
    <w:rsid w:val="001C58F0"/>
    <w:rsid w:val="001C5B56"/>
    <w:rsid w:val="001C5CC3"/>
    <w:rsid w:val="001C61BB"/>
    <w:rsid w:val="001C7DC2"/>
    <w:rsid w:val="001D0878"/>
    <w:rsid w:val="001D0CD4"/>
    <w:rsid w:val="001D0D47"/>
    <w:rsid w:val="001D140D"/>
    <w:rsid w:val="001D18C9"/>
    <w:rsid w:val="001D1EB6"/>
    <w:rsid w:val="001D2143"/>
    <w:rsid w:val="001D400B"/>
    <w:rsid w:val="001D42A8"/>
    <w:rsid w:val="001D52F9"/>
    <w:rsid w:val="001D5398"/>
    <w:rsid w:val="001D54E5"/>
    <w:rsid w:val="001D5C81"/>
    <w:rsid w:val="001D5E08"/>
    <w:rsid w:val="001D5EF1"/>
    <w:rsid w:val="001D7F9E"/>
    <w:rsid w:val="001E0359"/>
    <w:rsid w:val="001E0971"/>
    <w:rsid w:val="001E1BAB"/>
    <w:rsid w:val="001E23AD"/>
    <w:rsid w:val="001E2A12"/>
    <w:rsid w:val="001E2B22"/>
    <w:rsid w:val="001E3FBF"/>
    <w:rsid w:val="001E4BFC"/>
    <w:rsid w:val="001E4C22"/>
    <w:rsid w:val="001E4C31"/>
    <w:rsid w:val="001E4EDD"/>
    <w:rsid w:val="001E5DCD"/>
    <w:rsid w:val="001E6FF5"/>
    <w:rsid w:val="001E76C1"/>
    <w:rsid w:val="001E791A"/>
    <w:rsid w:val="001E7E0E"/>
    <w:rsid w:val="001F00C1"/>
    <w:rsid w:val="001F176D"/>
    <w:rsid w:val="001F1F55"/>
    <w:rsid w:val="001F30A8"/>
    <w:rsid w:val="001F5734"/>
    <w:rsid w:val="001F59EC"/>
    <w:rsid w:val="001F7792"/>
    <w:rsid w:val="001F7EB0"/>
    <w:rsid w:val="002000D7"/>
    <w:rsid w:val="002001D6"/>
    <w:rsid w:val="00200691"/>
    <w:rsid w:val="002007BB"/>
    <w:rsid w:val="00200B0C"/>
    <w:rsid w:val="00200C78"/>
    <w:rsid w:val="00200DED"/>
    <w:rsid w:val="00201252"/>
    <w:rsid w:val="00201DAD"/>
    <w:rsid w:val="0020269E"/>
    <w:rsid w:val="00202B4B"/>
    <w:rsid w:val="00202DF8"/>
    <w:rsid w:val="0020340B"/>
    <w:rsid w:val="0020352C"/>
    <w:rsid w:val="00203D21"/>
    <w:rsid w:val="00203E3C"/>
    <w:rsid w:val="002044AB"/>
    <w:rsid w:val="00204EC3"/>
    <w:rsid w:val="00205D66"/>
    <w:rsid w:val="00206B7E"/>
    <w:rsid w:val="00206C7C"/>
    <w:rsid w:val="002078FF"/>
    <w:rsid w:val="00207BE6"/>
    <w:rsid w:val="00207F0E"/>
    <w:rsid w:val="00210413"/>
    <w:rsid w:val="00211F1A"/>
    <w:rsid w:val="00211FF5"/>
    <w:rsid w:val="002133F3"/>
    <w:rsid w:val="002134D8"/>
    <w:rsid w:val="00215463"/>
    <w:rsid w:val="00215466"/>
    <w:rsid w:val="0021558D"/>
    <w:rsid w:val="00215DD8"/>
    <w:rsid w:val="002162A0"/>
    <w:rsid w:val="00216B22"/>
    <w:rsid w:val="00217B08"/>
    <w:rsid w:val="00217CC0"/>
    <w:rsid w:val="002202AB"/>
    <w:rsid w:val="0022070B"/>
    <w:rsid w:val="002215F9"/>
    <w:rsid w:val="00222252"/>
    <w:rsid w:val="00223077"/>
    <w:rsid w:val="0022338E"/>
    <w:rsid w:val="002238C2"/>
    <w:rsid w:val="00224769"/>
    <w:rsid w:val="002248C7"/>
    <w:rsid w:val="0022523B"/>
    <w:rsid w:val="002256C4"/>
    <w:rsid w:val="0022574B"/>
    <w:rsid w:val="00225B16"/>
    <w:rsid w:val="00225E52"/>
    <w:rsid w:val="0022603A"/>
    <w:rsid w:val="0022636F"/>
    <w:rsid w:val="002266AE"/>
    <w:rsid w:val="00226BCF"/>
    <w:rsid w:val="00227401"/>
    <w:rsid w:val="00227954"/>
    <w:rsid w:val="00231016"/>
    <w:rsid w:val="002317C3"/>
    <w:rsid w:val="00232963"/>
    <w:rsid w:val="00232DEC"/>
    <w:rsid w:val="00233203"/>
    <w:rsid w:val="0023376E"/>
    <w:rsid w:val="00234256"/>
    <w:rsid w:val="0023446D"/>
    <w:rsid w:val="00234716"/>
    <w:rsid w:val="00234739"/>
    <w:rsid w:val="0023475C"/>
    <w:rsid w:val="00234C48"/>
    <w:rsid w:val="00235233"/>
    <w:rsid w:val="0023534D"/>
    <w:rsid w:val="00235A84"/>
    <w:rsid w:val="00237502"/>
    <w:rsid w:val="00237BDF"/>
    <w:rsid w:val="0024072E"/>
    <w:rsid w:val="002409D6"/>
    <w:rsid w:val="0024125F"/>
    <w:rsid w:val="0024132A"/>
    <w:rsid w:val="00241338"/>
    <w:rsid w:val="0024148C"/>
    <w:rsid w:val="0024157D"/>
    <w:rsid w:val="00241814"/>
    <w:rsid w:val="00241F53"/>
    <w:rsid w:val="002421FE"/>
    <w:rsid w:val="00242BEA"/>
    <w:rsid w:val="00243994"/>
    <w:rsid w:val="00243C05"/>
    <w:rsid w:val="0024527F"/>
    <w:rsid w:val="00245E11"/>
    <w:rsid w:val="00245F8F"/>
    <w:rsid w:val="00246861"/>
    <w:rsid w:val="00246C91"/>
    <w:rsid w:val="00246FB8"/>
    <w:rsid w:val="0024707D"/>
    <w:rsid w:val="00250BD9"/>
    <w:rsid w:val="00251B8E"/>
    <w:rsid w:val="00251F95"/>
    <w:rsid w:val="00252289"/>
    <w:rsid w:val="0025283A"/>
    <w:rsid w:val="00252967"/>
    <w:rsid w:val="0025312B"/>
    <w:rsid w:val="002531BD"/>
    <w:rsid w:val="0025336D"/>
    <w:rsid w:val="002553CD"/>
    <w:rsid w:val="0025581E"/>
    <w:rsid w:val="0025591F"/>
    <w:rsid w:val="00255DF0"/>
    <w:rsid w:val="00255FD3"/>
    <w:rsid w:val="0025642B"/>
    <w:rsid w:val="00256ABC"/>
    <w:rsid w:val="00257A37"/>
    <w:rsid w:val="00260073"/>
    <w:rsid w:val="00260BFD"/>
    <w:rsid w:val="0026263C"/>
    <w:rsid w:val="002634FD"/>
    <w:rsid w:val="0026499A"/>
    <w:rsid w:val="00264CFB"/>
    <w:rsid w:val="002651A3"/>
    <w:rsid w:val="002653A8"/>
    <w:rsid w:val="00265798"/>
    <w:rsid w:val="002663F8"/>
    <w:rsid w:val="0026645B"/>
    <w:rsid w:val="00266BFF"/>
    <w:rsid w:val="00266C43"/>
    <w:rsid w:val="00266D15"/>
    <w:rsid w:val="00270CFB"/>
    <w:rsid w:val="00271D6E"/>
    <w:rsid w:val="002720B4"/>
    <w:rsid w:val="00272515"/>
    <w:rsid w:val="0027325C"/>
    <w:rsid w:val="0027333B"/>
    <w:rsid w:val="00273698"/>
    <w:rsid w:val="0027393A"/>
    <w:rsid w:val="00273F5C"/>
    <w:rsid w:val="0027439A"/>
    <w:rsid w:val="002743CC"/>
    <w:rsid w:val="0027456E"/>
    <w:rsid w:val="00274A17"/>
    <w:rsid w:val="0027570E"/>
    <w:rsid w:val="0027586F"/>
    <w:rsid w:val="00276F82"/>
    <w:rsid w:val="002773AF"/>
    <w:rsid w:val="00280491"/>
    <w:rsid w:val="00280933"/>
    <w:rsid w:val="00280F71"/>
    <w:rsid w:val="002812AB"/>
    <w:rsid w:val="00281320"/>
    <w:rsid w:val="0028161E"/>
    <w:rsid w:val="00281EDF"/>
    <w:rsid w:val="00281F99"/>
    <w:rsid w:val="00283537"/>
    <w:rsid w:val="00283919"/>
    <w:rsid w:val="00284231"/>
    <w:rsid w:val="00285B4B"/>
    <w:rsid w:val="00286467"/>
    <w:rsid w:val="00286BBC"/>
    <w:rsid w:val="00287498"/>
    <w:rsid w:val="00287E4D"/>
    <w:rsid w:val="00287FBD"/>
    <w:rsid w:val="00290642"/>
    <w:rsid w:val="00291929"/>
    <w:rsid w:val="00291A3F"/>
    <w:rsid w:val="002921ED"/>
    <w:rsid w:val="00292707"/>
    <w:rsid w:val="002928F5"/>
    <w:rsid w:val="00293641"/>
    <w:rsid w:val="0029388C"/>
    <w:rsid w:val="00293BC0"/>
    <w:rsid w:val="00293CD9"/>
    <w:rsid w:val="002943F0"/>
    <w:rsid w:val="002948F7"/>
    <w:rsid w:val="002950B8"/>
    <w:rsid w:val="0029591E"/>
    <w:rsid w:val="00295D9F"/>
    <w:rsid w:val="00296647"/>
    <w:rsid w:val="00297674"/>
    <w:rsid w:val="002977CE"/>
    <w:rsid w:val="00297EA9"/>
    <w:rsid w:val="002A0740"/>
    <w:rsid w:val="002A074E"/>
    <w:rsid w:val="002A0D32"/>
    <w:rsid w:val="002A11DF"/>
    <w:rsid w:val="002A1326"/>
    <w:rsid w:val="002A153A"/>
    <w:rsid w:val="002A173E"/>
    <w:rsid w:val="002A1933"/>
    <w:rsid w:val="002A1EFB"/>
    <w:rsid w:val="002A2149"/>
    <w:rsid w:val="002A240D"/>
    <w:rsid w:val="002A2A6C"/>
    <w:rsid w:val="002A3CED"/>
    <w:rsid w:val="002A4962"/>
    <w:rsid w:val="002A4D44"/>
    <w:rsid w:val="002A5687"/>
    <w:rsid w:val="002A56F2"/>
    <w:rsid w:val="002A5C47"/>
    <w:rsid w:val="002A5CF9"/>
    <w:rsid w:val="002A6114"/>
    <w:rsid w:val="002A6D83"/>
    <w:rsid w:val="002B0CDD"/>
    <w:rsid w:val="002B1B88"/>
    <w:rsid w:val="002B1DA9"/>
    <w:rsid w:val="002B43FA"/>
    <w:rsid w:val="002B5763"/>
    <w:rsid w:val="002B5E1E"/>
    <w:rsid w:val="002B6EE5"/>
    <w:rsid w:val="002B7060"/>
    <w:rsid w:val="002B7F3C"/>
    <w:rsid w:val="002C066B"/>
    <w:rsid w:val="002C0B1D"/>
    <w:rsid w:val="002C18A5"/>
    <w:rsid w:val="002C2592"/>
    <w:rsid w:val="002C2696"/>
    <w:rsid w:val="002C27C6"/>
    <w:rsid w:val="002C316F"/>
    <w:rsid w:val="002C36FA"/>
    <w:rsid w:val="002C422B"/>
    <w:rsid w:val="002C5037"/>
    <w:rsid w:val="002C51F7"/>
    <w:rsid w:val="002C585F"/>
    <w:rsid w:val="002C67E5"/>
    <w:rsid w:val="002C7684"/>
    <w:rsid w:val="002C7B21"/>
    <w:rsid w:val="002C7BED"/>
    <w:rsid w:val="002D054A"/>
    <w:rsid w:val="002D0FB5"/>
    <w:rsid w:val="002D1C82"/>
    <w:rsid w:val="002D1FC9"/>
    <w:rsid w:val="002D21AC"/>
    <w:rsid w:val="002D24EA"/>
    <w:rsid w:val="002D276D"/>
    <w:rsid w:val="002D39C5"/>
    <w:rsid w:val="002D3B44"/>
    <w:rsid w:val="002D3DD5"/>
    <w:rsid w:val="002D40E4"/>
    <w:rsid w:val="002D471D"/>
    <w:rsid w:val="002D4A09"/>
    <w:rsid w:val="002D4C8B"/>
    <w:rsid w:val="002D5B0E"/>
    <w:rsid w:val="002D631D"/>
    <w:rsid w:val="002D6A8E"/>
    <w:rsid w:val="002D6D4C"/>
    <w:rsid w:val="002D6E48"/>
    <w:rsid w:val="002E108C"/>
    <w:rsid w:val="002E1F31"/>
    <w:rsid w:val="002E2758"/>
    <w:rsid w:val="002E3A8D"/>
    <w:rsid w:val="002E3AB0"/>
    <w:rsid w:val="002E4010"/>
    <w:rsid w:val="002E447A"/>
    <w:rsid w:val="002E484D"/>
    <w:rsid w:val="002E4A59"/>
    <w:rsid w:val="002E4A90"/>
    <w:rsid w:val="002E4BEE"/>
    <w:rsid w:val="002E5124"/>
    <w:rsid w:val="002E54B9"/>
    <w:rsid w:val="002E5861"/>
    <w:rsid w:val="002E58C4"/>
    <w:rsid w:val="002E5C35"/>
    <w:rsid w:val="002E6E7A"/>
    <w:rsid w:val="002E7070"/>
    <w:rsid w:val="002E7287"/>
    <w:rsid w:val="002E75EE"/>
    <w:rsid w:val="002E7A97"/>
    <w:rsid w:val="002F0170"/>
    <w:rsid w:val="002F0E8E"/>
    <w:rsid w:val="002F25BD"/>
    <w:rsid w:val="002F276A"/>
    <w:rsid w:val="002F3CC3"/>
    <w:rsid w:val="002F445E"/>
    <w:rsid w:val="002F4999"/>
    <w:rsid w:val="002F4FE0"/>
    <w:rsid w:val="002F5CCD"/>
    <w:rsid w:val="002F6188"/>
    <w:rsid w:val="002F624F"/>
    <w:rsid w:val="002F6838"/>
    <w:rsid w:val="002F6C34"/>
    <w:rsid w:val="002F6C6F"/>
    <w:rsid w:val="002F6C90"/>
    <w:rsid w:val="00300926"/>
    <w:rsid w:val="00301B84"/>
    <w:rsid w:val="003028DC"/>
    <w:rsid w:val="0030688E"/>
    <w:rsid w:val="003069B5"/>
    <w:rsid w:val="00307494"/>
    <w:rsid w:val="00307B47"/>
    <w:rsid w:val="0031007B"/>
    <w:rsid w:val="00310BC0"/>
    <w:rsid w:val="00311843"/>
    <w:rsid w:val="003118B8"/>
    <w:rsid w:val="00312A8E"/>
    <w:rsid w:val="00312B70"/>
    <w:rsid w:val="00312F29"/>
    <w:rsid w:val="0031341B"/>
    <w:rsid w:val="00313E02"/>
    <w:rsid w:val="003141E4"/>
    <w:rsid w:val="00314552"/>
    <w:rsid w:val="003145E8"/>
    <w:rsid w:val="0031505E"/>
    <w:rsid w:val="00315686"/>
    <w:rsid w:val="0031616C"/>
    <w:rsid w:val="003168DE"/>
    <w:rsid w:val="00316A26"/>
    <w:rsid w:val="003205B1"/>
    <w:rsid w:val="0032082A"/>
    <w:rsid w:val="00320A8A"/>
    <w:rsid w:val="00321143"/>
    <w:rsid w:val="0032144D"/>
    <w:rsid w:val="00321999"/>
    <w:rsid w:val="00321E31"/>
    <w:rsid w:val="003220E3"/>
    <w:rsid w:val="00322349"/>
    <w:rsid w:val="003234C8"/>
    <w:rsid w:val="00323848"/>
    <w:rsid w:val="00323E18"/>
    <w:rsid w:val="00323FD6"/>
    <w:rsid w:val="0032534D"/>
    <w:rsid w:val="00325A28"/>
    <w:rsid w:val="00326A58"/>
    <w:rsid w:val="00326F35"/>
    <w:rsid w:val="003271F5"/>
    <w:rsid w:val="00327250"/>
    <w:rsid w:val="003312FC"/>
    <w:rsid w:val="003321B1"/>
    <w:rsid w:val="0033298B"/>
    <w:rsid w:val="00333289"/>
    <w:rsid w:val="0033372D"/>
    <w:rsid w:val="003340F7"/>
    <w:rsid w:val="00334B94"/>
    <w:rsid w:val="00334E9B"/>
    <w:rsid w:val="00336DED"/>
    <w:rsid w:val="00337A27"/>
    <w:rsid w:val="00337C94"/>
    <w:rsid w:val="00337CF3"/>
    <w:rsid w:val="00341711"/>
    <w:rsid w:val="00342E17"/>
    <w:rsid w:val="00342E6F"/>
    <w:rsid w:val="00343091"/>
    <w:rsid w:val="00343D8A"/>
    <w:rsid w:val="00343DDD"/>
    <w:rsid w:val="00344128"/>
    <w:rsid w:val="00344B51"/>
    <w:rsid w:val="00344D4A"/>
    <w:rsid w:val="00344E84"/>
    <w:rsid w:val="00345134"/>
    <w:rsid w:val="00345C93"/>
    <w:rsid w:val="00346AC1"/>
    <w:rsid w:val="003474F0"/>
    <w:rsid w:val="00350150"/>
    <w:rsid w:val="0035095E"/>
    <w:rsid w:val="00350991"/>
    <w:rsid w:val="00350A5D"/>
    <w:rsid w:val="0035306C"/>
    <w:rsid w:val="003536B9"/>
    <w:rsid w:val="003547CA"/>
    <w:rsid w:val="0035483D"/>
    <w:rsid w:val="00355187"/>
    <w:rsid w:val="003560B5"/>
    <w:rsid w:val="0035731F"/>
    <w:rsid w:val="00357991"/>
    <w:rsid w:val="003607CC"/>
    <w:rsid w:val="003608C0"/>
    <w:rsid w:val="00360A1D"/>
    <w:rsid w:val="0036100D"/>
    <w:rsid w:val="00361D9A"/>
    <w:rsid w:val="003622AE"/>
    <w:rsid w:val="003635AB"/>
    <w:rsid w:val="003644CD"/>
    <w:rsid w:val="003655C3"/>
    <w:rsid w:val="003657C7"/>
    <w:rsid w:val="00365F26"/>
    <w:rsid w:val="0036648A"/>
    <w:rsid w:val="00366B65"/>
    <w:rsid w:val="003675BE"/>
    <w:rsid w:val="00367B77"/>
    <w:rsid w:val="00370CB0"/>
    <w:rsid w:val="00370E8A"/>
    <w:rsid w:val="00371A7B"/>
    <w:rsid w:val="00372678"/>
    <w:rsid w:val="00372814"/>
    <w:rsid w:val="00372967"/>
    <w:rsid w:val="003733A3"/>
    <w:rsid w:val="0037450D"/>
    <w:rsid w:val="0037456D"/>
    <w:rsid w:val="00374759"/>
    <w:rsid w:val="003754DF"/>
    <w:rsid w:val="00375631"/>
    <w:rsid w:val="00376D36"/>
    <w:rsid w:val="00376F2B"/>
    <w:rsid w:val="00377662"/>
    <w:rsid w:val="00377B3E"/>
    <w:rsid w:val="00377BB0"/>
    <w:rsid w:val="003802FD"/>
    <w:rsid w:val="00380773"/>
    <w:rsid w:val="003814C0"/>
    <w:rsid w:val="00381A6F"/>
    <w:rsid w:val="003831C8"/>
    <w:rsid w:val="00384E14"/>
    <w:rsid w:val="003852CA"/>
    <w:rsid w:val="0038632E"/>
    <w:rsid w:val="003869FD"/>
    <w:rsid w:val="00387955"/>
    <w:rsid w:val="00387D99"/>
    <w:rsid w:val="00387F0C"/>
    <w:rsid w:val="003909DE"/>
    <w:rsid w:val="00390FDA"/>
    <w:rsid w:val="003912CB"/>
    <w:rsid w:val="00391A92"/>
    <w:rsid w:val="00392637"/>
    <w:rsid w:val="003927E2"/>
    <w:rsid w:val="00392807"/>
    <w:rsid w:val="00393BB6"/>
    <w:rsid w:val="003946C2"/>
    <w:rsid w:val="00395B02"/>
    <w:rsid w:val="00395CC5"/>
    <w:rsid w:val="0039629E"/>
    <w:rsid w:val="00396B6B"/>
    <w:rsid w:val="003970F4"/>
    <w:rsid w:val="0039721E"/>
    <w:rsid w:val="003973D4"/>
    <w:rsid w:val="00397C33"/>
    <w:rsid w:val="00397D34"/>
    <w:rsid w:val="003A0044"/>
    <w:rsid w:val="003A04AD"/>
    <w:rsid w:val="003A0F66"/>
    <w:rsid w:val="003A20DD"/>
    <w:rsid w:val="003A287A"/>
    <w:rsid w:val="003A304A"/>
    <w:rsid w:val="003A35BA"/>
    <w:rsid w:val="003A3861"/>
    <w:rsid w:val="003A3B66"/>
    <w:rsid w:val="003A4040"/>
    <w:rsid w:val="003A44EC"/>
    <w:rsid w:val="003A46D9"/>
    <w:rsid w:val="003A5913"/>
    <w:rsid w:val="003A6FB9"/>
    <w:rsid w:val="003A7E7B"/>
    <w:rsid w:val="003A7EC7"/>
    <w:rsid w:val="003B048D"/>
    <w:rsid w:val="003B0F8F"/>
    <w:rsid w:val="003B1636"/>
    <w:rsid w:val="003B1CF5"/>
    <w:rsid w:val="003B3A8C"/>
    <w:rsid w:val="003B4656"/>
    <w:rsid w:val="003B5341"/>
    <w:rsid w:val="003B5E95"/>
    <w:rsid w:val="003B614A"/>
    <w:rsid w:val="003B6776"/>
    <w:rsid w:val="003B6844"/>
    <w:rsid w:val="003B6FD8"/>
    <w:rsid w:val="003B760F"/>
    <w:rsid w:val="003C017B"/>
    <w:rsid w:val="003C0C06"/>
    <w:rsid w:val="003C17B4"/>
    <w:rsid w:val="003C32CD"/>
    <w:rsid w:val="003C34AF"/>
    <w:rsid w:val="003C3D02"/>
    <w:rsid w:val="003C44F3"/>
    <w:rsid w:val="003C45D9"/>
    <w:rsid w:val="003C501A"/>
    <w:rsid w:val="003C5704"/>
    <w:rsid w:val="003C5911"/>
    <w:rsid w:val="003C6302"/>
    <w:rsid w:val="003C6C83"/>
    <w:rsid w:val="003C6D7E"/>
    <w:rsid w:val="003C7341"/>
    <w:rsid w:val="003D040E"/>
    <w:rsid w:val="003D0902"/>
    <w:rsid w:val="003D159A"/>
    <w:rsid w:val="003D1C27"/>
    <w:rsid w:val="003D1DFD"/>
    <w:rsid w:val="003D28DF"/>
    <w:rsid w:val="003D30B2"/>
    <w:rsid w:val="003D30C4"/>
    <w:rsid w:val="003D30FC"/>
    <w:rsid w:val="003D4057"/>
    <w:rsid w:val="003D50FD"/>
    <w:rsid w:val="003D5C50"/>
    <w:rsid w:val="003D5EDA"/>
    <w:rsid w:val="003D6809"/>
    <w:rsid w:val="003D6ACD"/>
    <w:rsid w:val="003D7658"/>
    <w:rsid w:val="003D7CFE"/>
    <w:rsid w:val="003D7D0D"/>
    <w:rsid w:val="003E0705"/>
    <w:rsid w:val="003E1B9E"/>
    <w:rsid w:val="003E25F6"/>
    <w:rsid w:val="003E26C3"/>
    <w:rsid w:val="003E2752"/>
    <w:rsid w:val="003E30B4"/>
    <w:rsid w:val="003E333B"/>
    <w:rsid w:val="003E3EB6"/>
    <w:rsid w:val="003E3FE1"/>
    <w:rsid w:val="003E5C10"/>
    <w:rsid w:val="003E65BF"/>
    <w:rsid w:val="003E69A4"/>
    <w:rsid w:val="003F00D6"/>
    <w:rsid w:val="003F0119"/>
    <w:rsid w:val="003F0630"/>
    <w:rsid w:val="003F1117"/>
    <w:rsid w:val="003F1198"/>
    <w:rsid w:val="003F144A"/>
    <w:rsid w:val="003F1990"/>
    <w:rsid w:val="003F19BF"/>
    <w:rsid w:val="003F19E8"/>
    <w:rsid w:val="003F28C2"/>
    <w:rsid w:val="003F2D52"/>
    <w:rsid w:val="003F3021"/>
    <w:rsid w:val="003F3218"/>
    <w:rsid w:val="003F3E39"/>
    <w:rsid w:val="003F41BB"/>
    <w:rsid w:val="003F4CBB"/>
    <w:rsid w:val="003F4DF5"/>
    <w:rsid w:val="003F712B"/>
    <w:rsid w:val="004000DD"/>
    <w:rsid w:val="00400504"/>
    <w:rsid w:val="00400694"/>
    <w:rsid w:val="00401159"/>
    <w:rsid w:val="0040137E"/>
    <w:rsid w:val="004026A7"/>
    <w:rsid w:val="00402ACA"/>
    <w:rsid w:val="00402BFB"/>
    <w:rsid w:val="0040326D"/>
    <w:rsid w:val="00403357"/>
    <w:rsid w:val="00403795"/>
    <w:rsid w:val="00403976"/>
    <w:rsid w:val="00403C83"/>
    <w:rsid w:val="00404BA9"/>
    <w:rsid w:val="00404BFB"/>
    <w:rsid w:val="00405AB8"/>
    <w:rsid w:val="00406271"/>
    <w:rsid w:val="00406D68"/>
    <w:rsid w:val="00407FAD"/>
    <w:rsid w:val="004111C6"/>
    <w:rsid w:val="004112D6"/>
    <w:rsid w:val="004129E2"/>
    <w:rsid w:val="0041309A"/>
    <w:rsid w:val="00413946"/>
    <w:rsid w:val="00413D20"/>
    <w:rsid w:val="00415188"/>
    <w:rsid w:val="00415294"/>
    <w:rsid w:val="004158E5"/>
    <w:rsid w:val="00417CDF"/>
    <w:rsid w:val="00420083"/>
    <w:rsid w:val="00421326"/>
    <w:rsid w:val="00421A53"/>
    <w:rsid w:val="004220EA"/>
    <w:rsid w:val="00422A4C"/>
    <w:rsid w:val="00422CA3"/>
    <w:rsid w:val="004232A9"/>
    <w:rsid w:val="0042354A"/>
    <w:rsid w:val="004249C5"/>
    <w:rsid w:val="00425249"/>
    <w:rsid w:val="0042573A"/>
    <w:rsid w:val="00425AC5"/>
    <w:rsid w:val="00426272"/>
    <w:rsid w:val="004263E5"/>
    <w:rsid w:val="00426628"/>
    <w:rsid w:val="00426C3C"/>
    <w:rsid w:val="0042726D"/>
    <w:rsid w:val="00427DA3"/>
    <w:rsid w:val="00430365"/>
    <w:rsid w:val="004305BE"/>
    <w:rsid w:val="00431D88"/>
    <w:rsid w:val="00432666"/>
    <w:rsid w:val="00432710"/>
    <w:rsid w:val="00432769"/>
    <w:rsid w:val="0043321B"/>
    <w:rsid w:val="004347DE"/>
    <w:rsid w:val="00434D1A"/>
    <w:rsid w:val="00435990"/>
    <w:rsid w:val="00435B59"/>
    <w:rsid w:val="00436012"/>
    <w:rsid w:val="00437F43"/>
    <w:rsid w:val="00440415"/>
    <w:rsid w:val="0044063C"/>
    <w:rsid w:val="00440674"/>
    <w:rsid w:val="00440810"/>
    <w:rsid w:val="004411B3"/>
    <w:rsid w:val="0044167F"/>
    <w:rsid w:val="004417FB"/>
    <w:rsid w:val="00441BC1"/>
    <w:rsid w:val="00442801"/>
    <w:rsid w:val="00442CB1"/>
    <w:rsid w:val="00442EA4"/>
    <w:rsid w:val="00443EDB"/>
    <w:rsid w:val="00444344"/>
    <w:rsid w:val="004453FE"/>
    <w:rsid w:val="00445E12"/>
    <w:rsid w:val="00447237"/>
    <w:rsid w:val="00447410"/>
    <w:rsid w:val="00447D44"/>
    <w:rsid w:val="00450659"/>
    <w:rsid w:val="00450694"/>
    <w:rsid w:val="004508B8"/>
    <w:rsid w:val="00450BD9"/>
    <w:rsid w:val="00450CE5"/>
    <w:rsid w:val="0045124A"/>
    <w:rsid w:val="004515B7"/>
    <w:rsid w:val="00451A0B"/>
    <w:rsid w:val="0045245C"/>
    <w:rsid w:val="004524D3"/>
    <w:rsid w:val="00452AD0"/>
    <w:rsid w:val="00453F29"/>
    <w:rsid w:val="00453F6A"/>
    <w:rsid w:val="004548AF"/>
    <w:rsid w:val="0045526B"/>
    <w:rsid w:val="0045558A"/>
    <w:rsid w:val="00456FD4"/>
    <w:rsid w:val="004576AD"/>
    <w:rsid w:val="00457B63"/>
    <w:rsid w:val="00457CC3"/>
    <w:rsid w:val="00457EBB"/>
    <w:rsid w:val="0046015C"/>
    <w:rsid w:val="004609D5"/>
    <w:rsid w:val="00460D00"/>
    <w:rsid w:val="00461477"/>
    <w:rsid w:val="00461612"/>
    <w:rsid w:val="00461D3D"/>
    <w:rsid w:val="00462089"/>
    <w:rsid w:val="004624AB"/>
    <w:rsid w:val="00462751"/>
    <w:rsid w:val="004629F5"/>
    <w:rsid w:val="00462B47"/>
    <w:rsid w:val="00463FB2"/>
    <w:rsid w:val="00464321"/>
    <w:rsid w:val="00464C1A"/>
    <w:rsid w:val="004655A3"/>
    <w:rsid w:val="004660DA"/>
    <w:rsid w:val="004666CF"/>
    <w:rsid w:val="0046670C"/>
    <w:rsid w:val="00466AFF"/>
    <w:rsid w:val="00467971"/>
    <w:rsid w:val="004725E6"/>
    <w:rsid w:val="00472648"/>
    <w:rsid w:val="00472F1B"/>
    <w:rsid w:val="004732B4"/>
    <w:rsid w:val="00473B07"/>
    <w:rsid w:val="0047424C"/>
    <w:rsid w:val="00474FB6"/>
    <w:rsid w:val="0047566A"/>
    <w:rsid w:val="00475B53"/>
    <w:rsid w:val="00475CC9"/>
    <w:rsid w:val="004767BB"/>
    <w:rsid w:val="00476E8E"/>
    <w:rsid w:val="004808DB"/>
    <w:rsid w:val="004809DE"/>
    <w:rsid w:val="00480DDE"/>
    <w:rsid w:val="0048103B"/>
    <w:rsid w:val="00482840"/>
    <w:rsid w:val="00485538"/>
    <w:rsid w:val="00486CA8"/>
    <w:rsid w:val="0048730E"/>
    <w:rsid w:val="00490B88"/>
    <w:rsid w:val="00490E53"/>
    <w:rsid w:val="00490F81"/>
    <w:rsid w:val="00491B45"/>
    <w:rsid w:val="00492E56"/>
    <w:rsid w:val="00492E6D"/>
    <w:rsid w:val="00492FBA"/>
    <w:rsid w:val="004931BC"/>
    <w:rsid w:val="004934C3"/>
    <w:rsid w:val="00493B15"/>
    <w:rsid w:val="00494407"/>
    <w:rsid w:val="004948A6"/>
    <w:rsid w:val="00495659"/>
    <w:rsid w:val="00495DB9"/>
    <w:rsid w:val="0049753F"/>
    <w:rsid w:val="0049762D"/>
    <w:rsid w:val="00497F17"/>
    <w:rsid w:val="00497FD3"/>
    <w:rsid w:val="004A03E3"/>
    <w:rsid w:val="004A0A68"/>
    <w:rsid w:val="004A11EC"/>
    <w:rsid w:val="004A24C9"/>
    <w:rsid w:val="004A27A1"/>
    <w:rsid w:val="004A306A"/>
    <w:rsid w:val="004A36DD"/>
    <w:rsid w:val="004A3F14"/>
    <w:rsid w:val="004A44A1"/>
    <w:rsid w:val="004A4B2E"/>
    <w:rsid w:val="004A4ECF"/>
    <w:rsid w:val="004A4F0D"/>
    <w:rsid w:val="004A55A7"/>
    <w:rsid w:val="004A66B4"/>
    <w:rsid w:val="004A6A78"/>
    <w:rsid w:val="004A6E2C"/>
    <w:rsid w:val="004B06A1"/>
    <w:rsid w:val="004B0972"/>
    <w:rsid w:val="004B13CD"/>
    <w:rsid w:val="004B2886"/>
    <w:rsid w:val="004B306C"/>
    <w:rsid w:val="004B311D"/>
    <w:rsid w:val="004B37DD"/>
    <w:rsid w:val="004B43AC"/>
    <w:rsid w:val="004B4B13"/>
    <w:rsid w:val="004B4C07"/>
    <w:rsid w:val="004B5364"/>
    <w:rsid w:val="004B5A57"/>
    <w:rsid w:val="004B5D48"/>
    <w:rsid w:val="004B61A3"/>
    <w:rsid w:val="004B61B1"/>
    <w:rsid w:val="004B6C4F"/>
    <w:rsid w:val="004B6C5D"/>
    <w:rsid w:val="004B75A4"/>
    <w:rsid w:val="004B75C0"/>
    <w:rsid w:val="004C1A4B"/>
    <w:rsid w:val="004C1AB5"/>
    <w:rsid w:val="004C2899"/>
    <w:rsid w:val="004C2D9A"/>
    <w:rsid w:val="004C2DEF"/>
    <w:rsid w:val="004C2EB9"/>
    <w:rsid w:val="004C3564"/>
    <w:rsid w:val="004C441D"/>
    <w:rsid w:val="004C4B19"/>
    <w:rsid w:val="004C505C"/>
    <w:rsid w:val="004C506D"/>
    <w:rsid w:val="004C51EB"/>
    <w:rsid w:val="004C5ECC"/>
    <w:rsid w:val="004C5EF0"/>
    <w:rsid w:val="004C653B"/>
    <w:rsid w:val="004C65C7"/>
    <w:rsid w:val="004C663B"/>
    <w:rsid w:val="004C6EEB"/>
    <w:rsid w:val="004C6FB5"/>
    <w:rsid w:val="004C72F4"/>
    <w:rsid w:val="004C752A"/>
    <w:rsid w:val="004D01F0"/>
    <w:rsid w:val="004D0E2D"/>
    <w:rsid w:val="004D1367"/>
    <w:rsid w:val="004D1752"/>
    <w:rsid w:val="004D197A"/>
    <w:rsid w:val="004D22C5"/>
    <w:rsid w:val="004D4C59"/>
    <w:rsid w:val="004D4EE9"/>
    <w:rsid w:val="004D5E81"/>
    <w:rsid w:val="004D622B"/>
    <w:rsid w:val="004D7751"/>
    <w:rsid w:val="004D7861"/>
    <w:rsid w:val="004D7F58"/>
    <w:rsid w:val="004E00E3"/>
    <w:rsid w:val="004E0379"/>
    <w:rsid w:val="004E0C6B"/>
    <w:rsid w:val="004E119E"/>
    <w:rsid w:val="004E19A2"/>
    <w:rsid w:val="004E2CAA"/>
    <w:rsid w:val="004E3147"/>
    <w:rsid w:val="004E368C"/>
    <w:rsid w:val="004E4185"/>
    <w:rsid w:val="004E448E"/>
    <w:rsid w:val="004E457D"/>
    <w:rsid w:val="004E4AD5"/>
    <w:rsid w:val="004E4D21"/>
    <w:rsid w:val="004E56D3"/>
    <w:rsid w:val="004E5BCE"/>
    <w:rsid w:val="004E60BB"/>
    <w:rsid w:val="004E631D"/>
    <w:rsid w:val="004E729F"/>
    <w:rsid w:val="004E7F1B"/>
    <w:rsid w:val="004F0375"/>
    <w:rsid w:val="004F073B"/>
    <w:rsid w:val="004F0763"/>
    <w:rsid w:val="004F0937"/>
    <w:rsid w:val="004F110F"/>
    <w:rsid w:val="004F115D"/>
    <w:rsid w:val="004F1235"/>
    <w:rsid w:val="004F20CD"/>
    <w:rsid w:val="004F22B4"/>
    <w:rsid w:val="004F3AAD"/>
    <w:rsid w:val="004F41B0"/>
    <w:rsid w:val="004F5582"/>
    <w:rsid w:val="004F6313"/>
    <w:rsid w:val="004F7004"/>
    <w:rsid w:val="004F73A5"/>
    <w:rsid w:val="004F74C7"/>
    <w:rsid w:val="004F77AE"/>
    <w:rsid w:val="004F7BB7"/>
    <w:rsid w:val="004F7FD4"/>
    <w:rsid w:val="005008EA"/>
    <w:rsid w:val="00501455"/>
    <w:rsid w:val="00502219"/>
    <w:rsid w:val="005025E0"/>
    <w:rsid w:val="005027E2"/>
    <w:rsid w:val="00502D33"/>
    <w:rsid w:val="00503336"/>
    <w:rsid w:val="0050358D"/>
    <w:rsid w:val="005035FD"/>
    <w:rsid w:val="005039AA"/>
    <w:rsid w:val="00503A0E"/>
    <w:rsid w:val="00503BCD"/>
    <w:rsid w:val="00503CF8"/>
    <w:rsid w:val="0050408A"/>
    <w:rsid w:val="0050414F"/>
    <w:rsid w:val="00504AF7"/>
    <w:rsid w:val="00505CBA"/>
    <w:rsid w:val="0050608C"/>
    <w:rsid w:val="00506338"/>
    <w:rsid w:val="00512251"/>
    <w:rsid w:val="005125CB"/>
    <w:rsid w:val="00512B26"/>
    <w:rsid w:val="00513147"/>
    <w:rsid w:val="005134D0"/>
    <w:rsid w:val="0051375A"/>
    <w:rsid w:val="00513EF9"/>
    <w:rsid w:val="00514342"/>
    <w:rsid w:val="005146FD"/>
    <w:rsid w:val="005148FB"/>
    <w:rsid w:val="00515ECF"/>
    <w:rsid w:val="00516163"/>
    <w:rsid w:val="005166C2"/>
    <w:rsid w:val="00516D25"/>
    <w:rsid w:val="0051724A"/>
    <w:rsid w:val="00517E0E"/>
    <w:rsid w:val="00520D54"/>
    <w:rsid w:val="005212A4"/>
    <w:rsid w:val="00521DD8"/>
    <w:rsid w:val="0052269A"/>
    <w:rsid w:val="00522D44"/>
    <w:rsid w:val="00523049"/>
    <w:rsid w:val="00524276"/>
    <w:rsid w:val="00524A88"/>
    <w:rsid w:val="00524AA6"/>
    <w:rsid w:val="00524BF1"/>
    <w:rsid w:val="00524D7F"/>
    <w:rsid w:val="0052519A"/>
    <w:rsid w:val="005254FD"/>
    <w:rsid w:val="00525799"/>
    <w:rsid w:val="0052593B"/>
    <w:rsid w:val="00526905"/>
    <w:rsid w:val="00526BA1"/>
    <w:rsid w:val="00526C7A"/>
    <w:rsid w:val="00526E3B"/>
    <w:rsid w:val="00526EC1"/>
    <w:rsid w:val="00527237"/>
    <w:rsid w:val="00527480"/>
    <w:rsid w:val="00527763"/>
    <w:rsid w:val="00527ED4"/>
    <w:rsid w:val="00531367"/>
    <w:rsid w:val="005315AC"/>
    <w:rsid w:val="005330E0"/>
    <w:rsid w:val="00533EFF"/>
    <w:rsid w:val="0053478C"/>
    <w:rsid w:val="00535188"/>
    <w:rsid w:val="005358AB"/>
    <w:rsid w:val="00535A72"/>
    <w:rsid w:val="00536357"/>
    <w:rsid w:val="005363C6"/>
    <w:rsid w:val="00536DB9"/>
    <w:rsid w:val="005377BC"/>
    <w:rsid w:val="00537B36"/>
    <w:rsid w:val="0054042B"/>
    <w:rsid w:val="00540753"/>
    <w:rsid w:val="00540A70"/>
    <w:rsid w:val="00541797"/>
    <w:rsid w:val="00541809"/>
    <w:rsid w:val="00542A61"/>
    <w:rsid w:val="00543313"/>
    <w:rsid w:val="005435AD"/>
    <w:rsid w:val="005440D8"/>
    <w:rsid w:val="00544A03"/>
    <w:rsid w:val="00544E2D"/>
    <w:rsid w:val="00545B92"/>
    <w:rsid w:val="005462BD"/>
    <w:rsid w:val="0054721B"/>
    <w:rsid w:val="005472D3"/>
    <w:rsid w:val="00547600"/>
    <w:rsid w:val="00547694"/>
    <w:rsid w:val="00547A99"/>
    <w:rsid w:val="00547FF6"/>
    <w:rsid w:val="0055016C"/>
    <w:rsid w:val="0055061C"/>
    <w:rsid w:val="005511E6"/>
    <w:rsid w:val="00552669"/>
    <w:rsid w:val="005528C3"/>
    <w:rsid w:val="005539FD"/>
    <w:rsid w:val="00553C75"/>
    <w:rsid w:val="00554362"/>
    <w:rsid w:val="0055577A"/>
    <w:rsid w:val="0055597D"/>
    <w:rsid w:val="005569C1"/>
    <w:rsid w:val="005571A5"/>
    <w:rsid w:val="0056045F"/>
    <w:rsid w:val="00560495"/>
    <w:rsid w:val="00560575"/>
    <w:rsid w:val="00560941"/>
    <w:rsid w:val="00561058"/>
    <w:rsid w:val="005610BA"/>
    <w:rsid w:val="00561101"/>
    <w:rsid w:val="00561253"/>
    <w:rsid w:val="00561AF6"/>
    <w:rsid w:val="00562DDA"/>
    <w:rsid w:val="0056302E"/>
    <w:rsid w:val="00564F26"/>
    <w:rsid w:val="00565587"/>
    <w:rsid w:val="00565872"/>
    <w:rsid w:val="00565CB9"/>
    <w:rsid w:val="005671DB"/>
    <w:rsid w:val="00567783"/>
    <w:rsid w:val="005700C5"/>
    <w:rsid w:val="0057023B"/>
    <w:rsid w:val="0057024A"/>
    <w:rsid w:val="00571369"/>
    <w:rsid w:val="0057138A"/>
    <w:rsid w:val="00571708"/>
    <w:rsid w:val="00571953"/>
    <w:rsid w:val="00571FC5"/>
    <w:rsid w:val="00571FF4"/>
    <w:rsid w:val="00572DF8"/>
    <w:rsid w:val="005733C1"/>
    <w:rsid w:val="0057340A"/>
    <w:rsid w:val="005738CD"/>
    <w:rsid w:val="00573C3D"/>
    <w:rsid w:val="005744F5"/>
    <w:rsid w:val="00574724"/>
    <w:rsid w:val="00574A2D"/>
    <w:rsid w:val="00574B73"/>
    <w:rsid w:val="00574B8A"/>
    <w:rsid w:val="00576A63"/>
    <w:rsid w:val="005800A8"/>
    <w:rsid w:val="005800E3"/>
    <w:rsid w:val="00581959"/>
    <w:rsid w:val="00581B36"/>
    <w:rsid w:val="005823E9"/>
    <w:rsid w:val="00582408"/>
    <w:rsid w:val="00582450"/>
    <w:rsid w:val="005825C5"/>
    <w:rsid w:val="00582F57"/>
    <w:rsid w:val="00584829"/>
    <w:rsid w:val="0058489C"/>
    <w:rsid w:val="0058668A"/>
    <w:rsid w:val="00586A26"/>
    <w:rsid w:val="005872DF"/>
    <w:rsid w:val="00587369"/>
    <w:rsid w:val="00587748"/>
    <w:rsid w:val="0058782D"/>
    <w:rsid w:val="00587D46"/>
    <w:rsid w:val="00590232"/>
    <w:rsid w:val="00590D2D"/>
    <w:rsid w:val="0059112F"/>
    <w:rsid w:val="005912DA"/>
    <w:rsid w:val="005914F7"/>
    <w:rsid w:val="00592DDB"/>
    <w:rsid w:val="005930DB"/>
    <w:rsid w:val="00593A4C"/>
    <w:rsid w:val="00593E5E"/>
    <w:rsid w:val="005941E8"/>
    <w:rsid w:val="00594CA5"/>
    <w:rsid w:val="00594D1F"/>
    <w:rsid w:val="005950A5"/>
    <w:rsid w:val="0059532F"/>
    <w:rsid w:val="0059774B"/>
    <w:rsid w:val="0059785E"/>
    <w:rsid w:val="00597AA7"/>
    <w:rsid w:val="00597AF4"/>
    <w:rsid w:val="005A0D0F"/>
    <w:rsid w:val="005A130A"/>
    <w:rsid w:val="005A13C2"/>
    <w:rsid w:val="005A19EE"/>
    <w:rsid w:val="005A1A58"/>
    <w:rsid w:val="005A1C6F"/>
    <w:rsid w:val="005A21FE"/>
    <w:rsid w:val="005A35D4"/>
    <w:rsid w:val="005A3730"/>
    <w:rsid w:val="005A3794"/>
    <w:rsid w:val="005A3C0C"/>
    <w:rsid w:val="005A4463"/>
    <w:rsid w:val="005A4FE8"/>
    <w:rsid w:val="005A5506"/>
    <w:rsid w:val="005A566D"/>
    <w:rsid w:val="005A56D6"/>
    <w:rsid w:val="005A661E"/>
    <w:rsid w:val="005A68BF"/>
    <w:rsid w:val="005A7AC1"/>
    <w:rsid w:val="005A7C44"/>
    <w:rsid w:val="005A7DD7"/>
    <w:rsid w:val="005B0247"/>
    <w:rsid w:val="005B0BDD"/>
    <w:rsid w:val="005B122E"/>
    <w:rsid w:val="005B204D"/>
    <w:rsid w:val="005B2645"/>
    <w:rsid w:val="005B39BC"/>
    <w:rsid w:val="005B3B30"/>
    <w:rsid w:val="005B428A"/>
    <w:rsid w:val="005B4532"/>
    <w:rsid w:val="005B459C"/>
    <w:rsid w:val="005B6671"/>
    <w:rsid w:val="005B67C2"/>
    <w:rsid w:val="005B707D"/>
    <w:rsid w:val="005B7382"/>
    <w:rsid w:val="005B769E"/>
    <w:rsid w:val="005B7847"/>
    <w:rsid w:val="005B7C79"/>
    <w:rsid w:val="005C0266"/>
    <w:rsid w:val="005C12D5"/>
    <w:rsid w:val="005C14DF"/>
    <w:rsid w:val="005C14FC"/>
    <w:rsid w:val="005C37FB"/>
    <w:rsid w:val="005C3EC8"/>
    <w:rsid w:val="005C42F3"/>
    <w:rsid w:val="005C46B1"/>
    <w:rsid w:val="005C478B"/>
    <w:rsid w:val="005C4B31"/>
    <w:rsid w:val="005C4F66"/>
    <w:rsid w:val="005C5026"/>
    <w:rsid w:val="005C59F6"/>
    <w:rsid w:val="005C64FB"/>
    <w:rsid w:val="005C694F"/>
    <w:rsid w:val="005C7CCD"/>
    <w:rsid w:val="005D0264"/>
    <w:rsid w:val="005D2618"/>
    <w:rsid w:val="005D26C7"/>
    <w:rsid w:val="005D393B"/>
    <w:rsid w:val="005D3C4B"/>
    <w:rsid w:val="005D4207"/>
    <w:rsid w:val="005D5C77"/>
    <w:rsid w:val="005D5F5C"/>
    <w:rsid w:val="005D638A"/>
    <w:rsid w:val="005D7230"/>
    <w:rsid w:val="005D7481"/>
    <w:rsid w:val="005D75B9"/>
    <w:rsid w:val="005D76BA"/>
    <w:rsid w:val="005D785B"/>
    <w:rsid w:val="005D7932"/>
    <w:rsid w:val="005D7B36"/>
    <w:rsid w:val="005E02A3"/>
    <w:rsid w:val="005E0FDD"/>
    <w:rsid w:val="005E10F1"/>
    <w:rsid w:val="005E2135"/>
    <w:rsid w:val="005E2AF7"/>
    <w:rsid w:val="005E37AB"/>
    <w:rsid w:val="005E3E3A"/>
    <w:rsid w:val="005E417F"/>
    <w:rsid w:val="005E445C"/>
    <w:rsid w:val="005E44D1"/>
    <w:rsid w:val="005E4569"/>
    <w:rsid w:val="005E4E2A"/>
    <w:rsid w:val="005E64A3"/>
    <w:rsid w:val="005E67C1"/>
    <w:rsid w:val="005F0151"/>
    <w:rsid w:val="005F01C6"/>
    <w:rsid w:val="005F0A09"/>
    <w:rsid w:val="005F1397"/>
    <w:rsid w:val="005F13AF"/>
    <w:rsid w:val="005F1742"/>
    <w:rsid w:val="005F1CB3"/>
    <w:rsid w:val="005F245E"/>
    <w:rsid w:val="005F289B"/>
    <w:rsid w:val="005F28C1"/>
    <w:rsid w:val="005F2A56"/>
    <w:rsid w:val="005F2CA7"/>
    <w:rsid w:val="005F2E29"/>
    <w:rsid w:val="005F3A0A"/>
    <w:rsid w:val="005F4929"/>
    <w:rsid w:val="005F4C11"/>
    <w:rsid w:val="005F53D0"/>
    <w:rsid w:val="005F570E"/>
    <w:rsid w:val="005F5FF5"/>
    <w:rsid w:val="005F6A14"/>
    <w:rsid w:val="005F6B94"/>
    <w:rsid w:val="005F6B97"/>
    <w:rsid w:val="005F787C"/>
    <w:rsid w:val="0060083C"/>
    <w:rsid w:val="0060141C"/>
    <w:rsid w:val="00601AD9"/>
    <w:rsid w:val="00601BC0"/>
    <w:rsid w:val="006023A7"/>
    <w:rsid w:val="0060244C"/>
    <w:rsid w:val="0060341A"/>
    <w:rsid w:val="0060443C"/>
    <w:rsid w:val="006044E3"/>
    <w:rsid w:val="0060462F"/>
    <w:rsid w:val="00604E66"/>
    <w:rsid w:val="00604EEA"/>
    <w:rsid w:val="00605487"/>
    <w:rsid w:val="0060557E"/>
    <w:rsid w:val="00607296"/>
    <w:rsid w:val="00607349"/>
    <w:rsid w:val="00607901"/>
    <w:rsid w:val="0060792E"/>
    <w:rsid w:val="00607E21"/>
    <w:rsid w:val="006104FA"/>
    <w:rsid w:val="00610FA0"/>
    <w:rsid w:val="00612B8A"/>
    <w:rsid w:val="006134D5"/>
    <w:rsid w:val="00613551"/>
    <w:rsid w:val="00614617"/>
    <w:rsid w:val="00614BD2"/>
    <w:rsid w:val="00615E90"/>
    <w:rsid w:val="0061651C"/>
    <w:rsid w:val="00616680"/>
    <w:rsid w:val="00616DE6"/>
    <w:rsid w:val="00616F1A"/>
    <w:rsid w:val="0062012E"/>
    <w:rsid w:val="00620733"/>
    <w:rsid w:val="00620BFB"/>
    <w:rsid w:val="0062170C"/>
    <w:rsid w:val="00621A61"/>
    <w:rsid w:val="006220DB"/>
    <w:rsid w:val="00622E51"/>
    <w:rsid w:val="006236CE"/>
    <w:rsid w:val="0062399B"/>
    <w:rsid w:val="006250B5"/>
    <w:rsid w:val="00625803"/>
    <w:rsid w:val="006261DD"/>
    <w:rsid w:val="006263EC"/>
    <w:rsid w:val="00626851"/>
    <w:rsid w:val="0062746A"/>
    <w:rsid w:val="00627EF3"/>
    <w:rsid w:val="00630747"/>
    <w:rsid w:val="00631DF9"/>
    <w:rsid w:val="00632552"/>
    <w:rsid w:val="006329B8"/>
    <w:rsid w:val="0063448F"/>
    <w:rsid w:val="006344E9"/>
    <w:rsid w:val="006345C8"/>
    <w:rsid w:val="006348FF"/>
    <w:rsid w:val="00634979"/>
    <w:rsid w:val="00635319"/>
    <w:rsid w:val="00636319"/>
    <w:rsid w:val="006364A3"/>
    <w:rsid w:val="00637A6E"/>
    <w:rsid w:val="00640B7C"/>
    <w:rsid w:val="006416AF"/>
    <w:rsid w:val="00642610"/>
    <w:rsid w:val="006427F5"/>
    <w:rsid w:val="00643EAC"/>
    <w:rsid w:val="00644D35"/>
    <w:rsid w:val="00644D82"/>
    <w:rsid w:val="00645173"/>
    <w:rsid w:val="00645E5E"/>
    <w:rsid w:val="00645E9D"/>
    <w:rsid w:val="0064602F"/>
    <w:rsid w:val="0064685F"/>
    <w:rsid w:val="00646E89"/>
    <w:rsid w:val="0064708C"/>
    <w:rsid w:val="00650406"/>
    <w:rsid w:val="00650523"/>
    <w:rsid w:val="006506E0"/>
    <w:rsid w:val="00651409"/>
    <w:rsid w:val="006514DF"/>
    <w:rsid w:val="00651728"/>
    <w:rsid w:val="00652A2A"/>
    <w:rsid w:val="00653311"/>
    <w:rsid w:val="00653437"/>
    <w:rsid w:val="00653C0B"/>
    <w:rsid w:val="00653CC7"/>
    <w:rsid w:val="00654144"/>
    <w:rsid w:val="00654216"/>
    <w:rsid w:val="0065559F"/>
    <w:rsid w:val="00655E8F"/>
    <w:rsid w:val="0065662A"/>
    <w:rsid w:val="00656760"/>
    <w:rsid w:val="006575D0"/>
    <w:rsid w:val="00657728"/>
    <w:rsid w:val="0065783D"/>
    <w:rsid w:val="006578F7"/>
    <w:rsid w:val="00657D39"/>
    <w:rsid w:val="00657E43"/>
    <w:rsid w:val="00661945"/>
    <w:rsid w:val="00661D02"/>
    <w:rsid w:val="00661F72"/>
    <w:rsid w:val="006632B0"/>
    <w:rsid w:val="0066330B"/>
    <w:rsid w:val="00663456"/>
    <w:rsid w:val="00663534"/>
    <w:rsid w:val="006636C5"/>
    <w:rsid w:val="00663CA2"/>
    <w:rsid w:val="00664110"/>
    <w:rsid w:val="00664162"/>
    <w:rsid w:val="0066471B"/>
    <w:rsid w:val="006652F4"/>
    <w:rsid w:val="006659A0"/>
    <w:rsid w:val="00666E55"/>
    <w:rsid w:val="00667075"/>
    <w:rsid w:val="00667405"/>
    <w:rsid w:val="00667663"/>
    <w:rsid w:val="006678B2"/>
    <w:rsid w:val="00667BDD"/>
    <w:rsid w:val="0067106B"/>
    <w:rsid w:val="006721E3"/>
    <w:rsid w:val="00672510"/>
    <w:rsid w:val="00672644"/>
    <w:rsid w:val="00673051"/>
    <w:rsid w:val="006734E2"/>
    <w:rsid w:val="006735B4"/>
    <w:rsid w:val="00673E67"/>
    <w:rsid w:val="00674A94"/>
    <w:rsid w:val="00675424"/>
    <w:rsid w:val="00676567"/>
    <w:rsid w:val="00676985"/>
    <w:rsid w:val="00676FA3"/>
    <w:rsid w:val="00677110"/>
    <w:rsid w:val="006775D9"/>
    <w:rsid w:val="006778BE"/>
    <w:rsid w:val="00677F68"/>
    <w:rsid w:val="00680248"/>
    <w:rsid w:val="00680854"/>
    <w:rsid w:val="006816F3"/>
    <w:rsid w:val="00681AB0"/>
    <w:rsid w:val="00681D93"/>
    <w:rsid w:val="0068236E"/>
    <w:rsid w:val="0068275F"/>
    <w:rsid w:val="00684163"/>
    <w:rsid w:val="0068416D"/>
    <w:rsid w:val="00684699"/>
    <w:rsid w:val="00686639"/>
    <w:rsid w:val="00686C45"/>
    <w:rsid w:val="00686DC9"/>
    <w:rsid w:val="00686E10"/>
    <w:rsid w:val="006876DD"/>
    <w:rsid w:val="0068772A"/>
    <w:rsid w:val="00690316"/>
    <w:rsid w:val="0069090B"/>
    <w:rsid w:val="00690C80"/>
    <w:rsid w:val="00691DF1"/>
    <w:rsid w:val="00691E0B"/>
    <w:rsid w:val="00692097"/>
    <w:rsid w:val="006921F4"/>
    <w:rsid w:val="006926C0"/>
    <w:rsid w:val="006934DE"/>
    <w:rsid w:val="00693B1F"/>
    <w:rsid w:val="006942DE"/>
    <w:rsid w:val="006950EF"/>
    <w:rsid w:val="00695724"/>
    <w:rsid w:val="0069587A"/>
    <w:rsid w:val="00695CAD"/>
    <w:rsid w:val="00695E89"/>
    <w:rsid w:val="00695F1E"/>
    <w:rsid w:val="0069648B"/>
    <w:rsid w:val="006965CD"/>
    <w:rsid w:val="00696883"/>
    <w:rsid w:val="006969A0"/>
    <w:rsid w:val="00697119"/>
    <w:rsid w:val="00697235"/>
    <w:rsid w:val="006A08F0"/>
    <w:rsid w:val="006A0AF5"/>
    <w:rsid w:val="006A136D"/>
    <w:rsid w:val="006A1C9A"/>
    <w:rsid w:val="006A235D"/>
    <w:rsid w:val="006A3131"/>
    <w:rsid w:val="006A33DE"/>
    <w:rsid w:val="006A3A3A"/>
    <w:rsid w:val="006A483D"/>
    <w:rsid w:val="006A4C00"/>
    <w:rsid w:val="006A4D6B"/>
    <w:rsid w:val="006A51E6"/>
    <w:rsid w:val="006A7180"/>
    <w:rsid w:val="006A7260"/>
    <w:rsid w:val="006A7416"/>
    <w:rsid w:val="006A77E1"/>
    <w:rsid w:val="006B0CE0"/>
    <w:rsid w:val="006B126E"/>
    <w:rsid w:val="006B24C5"/>
    <w:rsid w:val="006B282B"/>
    <w:rsid w:val="006B5DC3"/>
    <w:rsid w:val="006B7EF1"/>
    <w:rsid w:val="006C0144"/>
    <w:rsid w:val="006C02FF"/>
    <w:rsid w:val="006C06BC"/>
    <w:rsid w:val="006C1592"/>
    <w:rsid w:val="006C18DC"/>
    <w:rsid w:val="006C1D84"/>
    <w:rsid w:val="006C2313"/>
    <w:rsid w:val="006C3007"/>
    <w:rsid w:val="006C4244"/>
    <w:rsid w:val="006C4498"/>
    <w:rsid w:val="006C4D1A"/>
    <w:rsid w:val="006C4F58"/>
    <w:rsid w:val="006C566C"/>
    <w:rsid w:val="006C6994"/>
    <w:rsid w:val="006C6AC0"/>
    <w:rsid w:val="006C6DAF"/>
    <w:rsid w:val="006C73AF"/>
    <w:rsid w:val="006C7B6B"/>
    <w:rsid w:val="006D11F8"/>
    <w:rsid w:val="006D13B9"/>
    <w:rsid w:val="006D2D50"/>
    <w:rsid w:val="006D2F84"/>
    <w:rsid w:val="006D439E"/>
    <w:rsid w:val="006D5F2B"/>
    <w:rsid w:val="006D653F"/>
    <w:rsid w:val="006E0529"/>
    <w:rsid w:val="006E0FC4"/>
    <w:rsid w:val="006E28E2"/>
    <w:rsid w:val="006E2986"/>
    <w:rsid w:val="006E3323"/>
    <w:rsid w:val="006E3AE5"/>
    <w:rsid w:val="006E40B1"/>
    <w:rsid w:val="006E533E"/>
    <w:rsid w:val="006E53BC"/>
    <w:rsid w:val="006E6405"/>
    <w:rsid w:val="006E643C"/>
    <w:rsid w:val="006E64BD"/>
    <w:rsid w:val="006E689A"/>
    <w:rsid w:val="006E6E9E"/>
    <w:rsid w:val="006E7058"/>
    <w:rsid w:val="006E757B"/>
    <w:rsid w:val="006E7D0A"/>
    <w:rsid w:val="006F1FA5"/>
    <w:rsid w:val="006F2AEF"/>
    <w:rsid w:val="006F3044"/>
    <w:rsid w:val="006F3716"/>
    <w:rsid w:val="006F38F8"/>
    <w:rsid w:val="006F3C90"/>
    <w:rsid w:val="006F3FDF"/>
    <w:rsid w:val="006F5612"/>
    <w:rsid w:val="006F6192"/>
    <w:rsid w:val="006F7155"/>
    <w:rsid w:val="006F77AE"/>
    <w:rsid w:val="006F7DF6"/>
    <w:rsid w:val="007008A0"/>
    <w:rsid w:val="00700AD7"/>
    <w:rsid w:val="00700C94"/>
    <w:rsid w:val="00700D3A"/>
    <w:rsid w:val="00700E2B"/>
    <w:rsid w:val="00701887"/>
    <w:rsid w:val="00703DD9"/>
    <w:rsid w:val="0070400B"/>
    <w:rsid w:val="00704578"/>
    <w:rsid w:val="00704604"/>
    <w:rsid w:val="007047A9"/>
    <w:rsid w:val="00704ADE"/>
    <w:rsid w:val="0070549F"/>
    <w:rsid w:val="00705886"/>
    <w:rsid w:val="0070724C"/>
    <w:rsid w:val="0070743B"/>
    <w:rsid w:val="0071058F"/>
    <w:rsid w:val="0071194B"/>
    <w:rsid w:val="00712D2B"/>
    <w:rsid w:val="00712EB4"/>
    <w:rsid w:val="00713ACD"/>
    <w:rsid w:val="007142E9"/>
    <w:rsid w:val="00714C38"/>
    <w:rsid w:val="00714D6D"/>
    <w:rsid w:val="00715365"/>
    <w:rsid w:val="007159A3"/>
    <w:rsid w:val="00715A42"/>
    <w:rsid w:val="0071649B"/>
    <w:rsid w:val="00716845"/>
    <w:rsid w:val="00717108"/>
    <w:rsid w:val="00717482"/>
    <w:rsid w:val="0072027E"/>
    <w:rsid w:val="00720CFB"/>
    <w:rsid w:val="00720F2B"/>
    <w:rsid w:val="007212AB"/>
    <w:rsid w:val="00721337"/>
    <w:rsid w:val="00721752"/>
    <w:rsid w:val="00721897"/>
    <w:rsid w:val="007239DB"/>
    <w:rsid w:val="00723D2E"/>
    <w:rsid w:val="00723D57"/>
    <w:rsid w:val="00723D75"/>
    <w:rsid w:val="00724B80"/>
    <w:rsid w:val="00724C6F"/>
    <w:rsid w:val="007252B1"/>
    <w:rsid w:val="00725B36"/>
    <w:rsid w:val="0072606B"/>
    <w:rsid w:val="007267F9"/>
    <w:rsid w:val="0072750B"/>
    <w:rsid w:val="00727B07"/>
    <w:rsid w:val="00730849"/>
    <w:rsid w:val="00730883"/>
    <w:rsid w:val="00730C65"/>
    <w:rsid w:val="007310B9"/>
    <w:rsid w:val="007312CA"/>
    <w:rsid w:val="00731B51"/>
    <w:rsid w:val="00732937"/>
    <w:rsid w:val="00732B19"/>
    <w:rsid w:val="00733084"/>
    <w:rsid w:val="0073323B"/>
    <w:rsid w:val="00733703"/>
    <w:rsid w:val="00733CF4"/>
    <w:rsid w:val="00733EA1"/>
    <w:rsid w:val="0073425A"/>
    <w:rsid w:val="00734F44"/>
    <w:rsid w:val="00736B24"/>
    <w:rsid w:val="00736ED7"/>
    <w:rsid w:val="00736F75"/>
    <w:rsid w:val="007370FC"/>
    <w:rsid w:val="007376A8"/>
    <w:rsid w:val="00740DFA"/>
    <w:rsid w:val="007419FF"/>
    <w:rsid w:val="00741ACC"/>
    <w:rsid w:val="0074267B"/>
    <w:rsid w:val="00742DDD"/>
    <w:rsid w:val="00742ED6"/>
    <w:rsid w:val="00743828"/>
    <w:rsid w:val="00743E00"/>
    <w:rsid w:val="00744539"/>
    <w:rsid w:val="00744F50"/>
    <w:rsid w:val="00745875"/>
    <w:rsid w:val="00746350"/>
    <w:rsid w:val="00746451"/>
    <w:rsid w:val="00747C00"/>
    <w:rsid w:val="00747D17"/>
    <w:rsid w:val="00747E98"/>
    <w:rsid w:val="0075014E"/>
    <w:rsid w:val="007502D8"/>
    <w:rsid w:val="0075059D"/>
    <w:rsid w:val="0075075E"/>
    <w:rsid w:val="00751991"/>
    <w:rsid w:val="00751D44"/>
    <w:rsid w:val="00752EC9"/>
    <w:rsid w:val="00752F95"/>
    <w:rsid w:val="0075494E"/>
    <w:rsid w:val="00755247"/>
    <w:rsid w:val="007552A9"/>
    <w:rsid w:val="007552C0"/>
    <w:rsid w:val="007568DF"/>
    <w:rsid w:val="00757636"/>
    <w:rsid w:val="00757F62"/>
    <w:rsid w:val="007601A1"/>
    <w:rsid w:val="00760324"/>
    <w:rsid w:val="00760A60"/>
    <w:rsid w:val="0076121B"/>
    <w:rsid w:val="007618A0"/>
    <w:rsid w:val="007648CF"/>
    <w:rsid w:val="00766AC0"/>
    <w:rsid w:val="00766CC4"/>
    <w:rsid w:val="00767890"/>
    <w:rsid w:val="0076791F"/>
    <w:rsid w:val="0077013D"/>
    <w:rsid w:val="007704F2"/>
    <w:rsid w:val="0077231B"/>
    <w:rsid w:val="00773659"/>
    <w:rsid w:val="00773691"/>
    <w:rsid w:val="00773E32"/>
    <w:rsid w:val="00775039"/>
    <w:rsid w:val="00775499"/>
    <w:rsid w:val="00775640"/>
    <w:rsid w:val="00775D52"/>
    <w:rsid w:val="007767F5"/>
    <w:rsid w:val="00776D6C"/>
    <w:rsid w:val="00777584"/>
    <w:rsid w:val="00777993"/>
    <w:rsid w:val="00777C53"/>
    <w:rsid w:val="00777E8D"/>
    <w:rsid w:val="00777EEC"/>
    <w:rsid w:val="00780E4B"/>
    <w:rsid w:val="0078135A"/>
    <w:rsid w:val="00781835"/>
    <w:rsid w:val="00783422"/>
    <w:rsid w:val="0078343A"/>
    <w:rsid w:val="007834FE"/>
    <w:rsid w:val="00783F14"/>
    <w:rsid w:val="00784A65"/>
    <w:rsid w:val="00784C54"/>
    <w:rsid w:val="00785225"/>
    <w:rsid w:val="0078556F"/>
    <w:rsid w:val="00785DFC"/>
    <w:rsid w:val="00785F00"/>
    <w:rsid w:val="007864F9"/>
    <w:rsid w:val="0078683E"/>
    <w:rsid w:val="00786AEA"/>
    <w:rsid w:val="0078735B"/>
    <w:rsid w:val="007874AD"/>
    <w:rsid w:val="007876AB"/>
    <w:rsid w:val="007879DE"/>
    <w:rsid w:val="00787BF6"/>
    <w:rsid w:val="007904E1"/>
    <w:rsid w:val="00790E84"/>
    <w:rsid w:val="00791A06"/>
    <w:rsid w:val="00791CBE"/>
    <w:rsid w:val="00792BC5"/>
    <w:rsid w:val="00792CBF"/>
    <w:rsid w:val="00793AC5"/>
    <w:rsid w:val="00793E5B"/>
    <w:rsid w:val="007940E3"/>
    <w:rsid w:val="00795351"/>
    <w:rsid w:val="00795629"/>
    <w:rsid w:val="0079589A"/>
    <w:rsid w:val="00796FF5"/>
    <w:rsid w:val="0079702D"/>
    <w:rsid w:val="00797240"/>
    <w:rsid w:val="0079742C"/>
    <w:rsid w:val="007A0404"/>
    <w:rsid w:val="007A18BC"/>
    <w:rsid w:val="007A1A6F"/>
    <w:rsid w:val="007A1EB0"/>
    <w:rsid w:val="007A2058"/>
    <w:rsid w:val="007A232A"/>
    <w:rsid w:val="007A2E2C"/>
    <w:rsid w:val="007A2F53"/>
    <w:rsid w:val="007A313C"/>
    <w:rsid w:val="007A31CF"/>
    <w:rsid w:val="007A416F"/>
    <w:rsid w:val="007A41B3"/>
    <w:rsid w:val="007A4433"/>
    <w:rsid w:val="007A4767"/>
    <w:rsid w:val="007A4AF1"/>
    <w:rsid w:val="007A5065"/>
    <w:rsid w:val="007A533E"/>
    <w:rsid w:val="007A5DDD"/>
    <w:rsid w:val="007A69D9"/>
    <w:rsid w:val="007A6FDC"/>
    <w:rsid w:val="007A79D7"/>
    <w:rsid w:val="007B04DB"/>
    <w:rsid w:val="007B0E2E"/>
    <w:rsid w:val="007B15AB"/>
    <w:rsid w:val="007B1797"/>
    <w:rsid w:val="007B192A"/>
    <w:rsid w:val="007B1A8B"/>
    <w:rsid w:val="007B26A9"/>
    <w:rsid w:val="007B27E7"/>
    <w:rsid w:val="007B31E0"/>
    <w:rsid w:val="007B370F"/>
    <w:rsid w:val="007B4590"/>
    <w:rsid w:val="007B4753"/>
    <w:rsid w:val="007B48F0"/>
    <w:rsid w:val="007B4BDE"/>
    <w:rsid w:val="007B55C1"/>
    <w:rsid w:val="007B5AE7"/>
    <w:rsid w:val="007B5F30"/>
    <w:rsid w:val="007B6337"/>
    <w:rsid w:val="007B6636"/>
    <w:rsid w:val="007C0307"/>
    <w:rsid w:val="007C0F01"/>
    <w:rsid w:val="007C23ED"/>
    <w:rsid w:val="007C24E6"/>
    <w:rsid w:val="007C2B71"/>
    <w:rsid w:val="007C4671"/>
    <w:rsid w:val="007C477F"/>
    <w:rsid w:val="007C4A89"/>
    <w:rsid w:val="007C58BA"/>
    <w:rsid w:val="007C59C0"/>
    <w:rsid w:val="007C5FAD"/>
    <w:rsid w:val="007C61B2"/>
    <w:rsid w:val="007D0893"/>
    <w:rsid w:val="007D12FB"/>
    <w:rsid w:val="007D1D90"/>
    <w:rsid w:val="007D1F5D"/>
    <w:rsid w:val="007D26F1"/>
    <w:rsid w:val="007D2EFF"/>
    <w:rsid w:val="007D32D7"/>
    <w:rsid w:val="007D3459"/>
    <w:rsid w:val="007D3525"/>
    <w:rsid w:val="007D49EE"/>
    <w:rsid w:val="007D4E5C"/>
    <w:rsid w:val="007D4E91"/>
    <w:rsid w:val="007D536F"/>
    <w:rsid w:val="007D6172"/>
    <w:rsid w:val="007D6EED"/>
    <w:rsid w:val="007D714B"/>
    <w:rsid w:val="007E037B"/>
    <w:rsid w:val="007E0385"/>
    <w:rsid w:val="007E08A2"/>
    <w:rsid w:val="007E0E87"/>
    <w:rsid w:val="007E10E7"/>
    <w:rsid w:val="007E10ED"/>
    <w:rsid w:val="007E10FE"/>
    <w:rsid w:val="007E123B"/>
    <w:rsid w:val="007E2554"/>
    <w:rsid w:val="007E264F"/>
    <w:rsid w:val="007E389F"/>
    <w:rsid w:val="007E3A3D"/>
    <w:rsid w:val="007E56A3"/>
    <w:rsid w:val="007E58FF"/>
    <w:rsid w:val="007E67A6"/>
    <w:rsid w:val="007E6B62"/>
    <w:rsid w:val="007E6CA6"/>
    <w:rsid w:val="007E6F5E"/>
    <w:rsid w:val="007E7B30"/>
    <w:rsid w:val="007E7D2D"/>
    <w:rsid w:val="007F0171"/>
    <w:rsid w:val="007F05EE"/>
    <w:rsid w:val="007F0A72"/>
    <w:rsid w:val="007F0DAB"/>
    <w:rsid w:val="007F0ED2"/>
    <w:rsid w:val="007F2FA0"/>
    <w:rsid w:val="007F31CC"/>
    <w:rsid w:val="007F3279"/>
    <w:rsid w:val="007F34DA"/>
    <w:rsid w:val="007F391E"/>
    <w:rsid w:val="007F3968"/>
    <w:rsid w:val="007F3E35"/>
    <w:rsid w:val="007F46C2"/>
    <w:rsid w:val="007F616F"/>
    <w:rsid w:val="007F6230"/>
    <w:rsid w:val="007F695F"/>
    <w:rsid w:val="007F71AA"/>
    <w:rsid w:val="007F744B"/>
    <w:rsid w:val="007F7AB0"/>
    <w:rsid w:val="007F7D22"/>
    <w:rsid w:val="008006C6"/>
    <w:rsid w:val="00800E56"/>
    <w:rsid w:val="0080187D"/>
    <w:rsid w:val="0080212F"/>
    <w:rsid w:val="0080249D"/>
    <w:rsid w:val="00802668"/>
    <w:rsid w:val="008027E5"/>
    <w:rsid w:val="00802873"/>
    <w:rsid w:val="00804049"/>
    <w:rsid w:val="00804687"/>
    <w:rsid w:val="008049F0"/>
    <w:rsid w:val="00804CFB"/>
    <w:rsid w:val="00805A99"/>
    <w:rsid w:val="00805D45"/>
    <w:rsid w:val="00805D6B"/>
    <w:rsid w:val="00805F60"/>
    <w:rsid w:val="00806436"/>
    <w:rsid w:val="00806B01"/>
    <w:rsid w:val="00806F6D"/>
    <w:rsid w:val="008073E0"/>
    <w:rsid w:val="008077F6"/>
    <w:rsid w:val="00810848"/>
    <w:rsid w:val="008117B8"/>
    <w:rsid w:val="0081333D"/>
    <w:rsid w:val="00813A5D"/>
    <w:rsid w:val="00813D7B"/>
    <w:rsid w:val="00813E2B"/>
    <w:rsid w:val="008155D4"/>
    <w:rsid w:val="00815F4F"/>
    <w:rsid w:val="0081616B"/>
    <w:rsid w:val="00816A37"/>
    <w:rsid w:val="00817151"/>
    <w:rsid w:val="008212BB"/>
    <w:rsid w:val="00821C0F"/>
    <w:rsid w:val="008220F3"/>
    <w:rsid w:val="00822739"/>
    <w:rsid w:val="008231A8"/>
    <w:rsid w:val="008231B6"/>
    <w:rsid w:val="0082338D"/>
    <w:rsid w:val="00824943"/>
    <w:rsid w:val="00825A41"/>
    <w:rsid w:val="00825D5C"/>
    <w:rsid w:val="00826463"/>
    <w:rsid w:val="00827611"/>
    <w:rsid w:val="00827901"/>
    <w:rsid w:val="008279B3"/>
    <w:rsid w:val="008302F6"/>
    <w:rsid w:val="00830BA1"/>
    <w:rsid w:val="00830C2B"/>
    <w:rsid w:val="00830CF8"/>
    <w:rsid w:val="00831449"/>
    <w:rsid w:val="00831493"/>
    <w:rsid w:val="00831844"/>
    <w:rsid w:val="00832594"/>
    <w:rsid w:val="00832ADC"/>
    <w:rsid w:val="00832C16"/>
    <w:rsid w:val="00832DCF"/>
    <w:rsid w:val="00833028"/>
    <w:rsid w:val="00833259"/>
    <w:rsid w:val="0083363B"/>
    <w:rsid w:val="008337C6"/>
    <w:rsid w:val="008337D9"/>
    <w:rsid w:val="00833AB2"/>
    <w:rsid w:val="00833B55"/>
    <w:rsid w:val="00833F9A"/>
    <w:rsid w:val="008348C8"/>
    <w:rsid w:val="00834A4F"/>
    <w:rsid w:val="00835362"/>
    <w:rsid w:val="008358E2"/>
    <w:rsid w:val="008359A7"/>
    <w:rsid w:val="00835A60"/>
    <w:rsid w:val="0083639A"/>
    <w:rsid w:val="00836A67"/>
    <w:rsid w:val="0084373C"/>
    <w:rsid w:val="008439FF"/>
    <w:rsid w:val="00843AB6"/>
    <w:rsid w:val="00844572"/>
    <w:rsid w:val="0084543E"/>
    <w:rsid w:val="00846BFF"/>
    <w:rsid w:val="00846FB5"/>
    <w:rsid w:val="0084741F"/>
    <w:rsid w:val="0084785C"/>
    <w:rsid w:val="00850D69"/>
    <w:rsid w:val="00851509"/>
    <w:rsid w:val="00851523"/>
    <w:rsid w:val="00851DE7"/>
    <w:rsid w:val="0085246F"/>
    <w:rsid w:val="00852DA4"/>
    <w:rsid w:val="0085459C"/>
    <w:rsid w:val="00854FA6"/>
    <w:rsid w:val="00855A62"/>
    <w:rsid w:val="00855C18"/>
    <w:rsid w:val="00855E89"/>
    <w:rsid w:val="00856019"/>
    <w:rsid w:val="008562CC"/>
    <w:rsid w:val="00856969"/>
    <w:rsid w:val="008571A5"/>
    <w:rsid w:val="00857297"/>
    <w:rsid w:val="008577D9"/>
    <w:rsid w:val="008610F0"/>
    <w:rsid w:val="00862AC1"/>
    <w:rsid w:val="00862FE2"/>
    <w:rsid w:val="008631E4"/>
    <w:rsid w:val="00863512"/>
    <w:rsid w:val="00863785"/>
    <w:rsid w:val="00864342"/>
    <w:rsid w:val="00864F1D"/>
    <w:rsid w:val="00865242"/>
    <w:rsid w:val="00866EA1"/>
    <w:rsid w:val="00870714"/>
    <w:rsid w:val="008708D9"/>
    <w:rsid w:val="008714FE"/>
    <w:rsid w:val="00871C24"/>
    <w:rsid w:val="00872D42"/>
    <w:rsid w:val="00872FB0"/>
    <w:rsid w:val="008731E1"/>
    <w:rsid w:val="00873F01"/>
    <w:rsid w:val="00874478"/>
    <w:rsid w:val="008747A6"/>
    <w:rsid w:val="00874950"/>
    <w:rsid w:val="008750C1"/>
    <w:rsid w:val="008750C3"/>
    <w:rsid w:val="008752A3"/>
    <w:rsid w:val="00875D20"/>
    <w:rsid w:val="00875FFC"/>
    <w:rsid w:val="00876BF2"/>
    <w:rsid w:val="0087721D"/>
    <w:rsid w:val="008804AE"/>
    <w:rsid w:val="008808E7"/>
    <w:rsid w:val="00880AC0"/>
    <w:rsid w:val="00881BCC"/>
    <w:rsid w:val="00882FAB"/>
    <w:rsid w:val="0088355D"/>
    <w:rsid w:val="0088383D"/>
    <w:rsid w:val="00884F0C"/>
    <w:rsid w:val="00885559"/>
    <w:rsid w:val="00885BF2"/>
    <w:rsid w:val="00885D3F"/>
    <w:rsid w:val="0088600B"/>
    <w:rsid w:val="008863B7"/>
    <w:rsid w:val="008869EF"/>
    <w:rsid w:val="00886A70"/>
    <w:rsid w:val="00886DD6"/>
    <w:rsid w:val="00890655"/>
    <w:rsid w:val="00890D10"/>
    <w:rsid w:val="00891007"/>
    <w:rsid w:val="00891017"/>
    <w:rsid w:val="008911FF"/>
    <w:rsid w:val="00891422"/>
    <w:rsid w:val="008939ED"/>
    <w:rsid w:val="00894108"/>
    <w:rsid w:val="00894695"/>
    <w:rsid w:val="00894C47"/>
    <w:rsid w:val="0089531B"/>
    <w:rsid w:val="008956B3"/>
    <w:rsid w:val="0089570D"/>
    <w:rsid w:val="00895B1B"/>
    <w:rsid w:val="00895C74"/>
    <w:rsid w:val="0089665E"/>
    <w:rsid w:val="00896936"/>
    <w:rsid w:val="00896ADC"/>
    <w:rsid w:val="008970BD"/>
    <w:rsid w:val="008971F5"/>
    <w:rsid w:val="008977D4"/>
    <w:rsid w:val="00897E45"/>
    <w:rsid w:val="008A018C"/>
    <w:rsid w:val="008A0486"/>
    <w:rsid w:val="008A0C47"/>
    <w:rsid w:val="008A1E32"/>
    <w:rsid w:val="008A20E8"/>
    <w:rsid w:val="008A4BB8"/>
    <w:rsid w:val="008A528C"/>
    <w:rsid w:val="008A5F53"/>
    <w:rsid w:val="008A6102"/>
    <w:rsid w:val="008A6542"/>
    <w:rsid w:val="008A6CE5"/>
    <w:rsid w:val="008A7164"/>
    <w:rsid w:val="008A718D"/>
    <w:rsid w:val="008A74EF"/>
    <w:rsid w:val="008B0318"/>
    <w:rsid w:val="008B0E70"/>
    <w:rsid w:val="008B14C3"/>
    <w:rsid w:val="008B1BDD"/>
    <w:rsid w:val="008B1C4D"/>
    <w:rsid w:val="008B1FC3"/>
    <w:rsid w:val="008B21A8"/>
    <w:rsid w:val="008B2E6D"/>
    <w:rsid w:val="008B3002"/>
    <w:rsid w:val="008B304E"/>
    <w:rsid w:val="008B3103"/>
    <w:rsid w:val="008B32BB"/>
    <w:rsid w:val="008B52CA"/>
    <w:rsid w:val="008C0254"/>
    <w:rsid w:val="008C1679"/>
    <w:rsid w:val="008C19C7"/>
    <w:rsid w:val="008C1B52"/>
    <w:rsid w:val="008C2FA1"/>
    <w:rsid w:val="008C358F"/>
    <w:rsid w:val="008C3C72"/>
    <w:rsid w:val="008C3CD7"/>
    <w:rsid w:val="008C4367"/>
    <w:rsid w:val="008C45E6"/>
    <w:rsid w:val="008C4957"/>
    <w:rsid w:val="008C55A4"/>
    <w:rsid w:val="008C5BDF"/>
    <w:rsid w:val="008C5F96"/>
    <w:rsid w:val="008C6BF3"/>
    <w:rsid w:val="008C7710"/>
    <w:rsid w:val="008D00C4"/>
    <w:rsid w:val="008D0637"/>
    <w:rsid w:val="008D09A7"/>
    <w:rsid w:val="008D13C7"/>
    <w:rsid w:val="008D194D"/>
    <w:rsid w:val="008D2A0C"/>
    <w:rsid w:val="008D3310"/>
    <w:rsid w:val="008D436D"/>
    <w:rsid w:val="008D476E"/>
    <w:rsid w:val="008D4BDA"/>
    <w:rsid w:val="008D4CF7"/>
    <w:rsid w:val="008D5141"/>
    <w:rsid w:val="008D53B0"/>
    <w:rsid w:val="008D55EE"/>
    <w:rsid w:val="008D5681"/>
    <w:rsid w:val="008D5D2B"/>
    <w:rsid w:val="008D5EE6"/>
    <w:rsid w:val="008D60A4"/>
    <w:rsid w:val="008D6AD5"/>
    <w:rsid w:val="008D7630"/>
    <w:rsid w:val="008E0A66"/>
    <w:rsid w:val="008E2019"/>
    <w:rsid w:val="008E2B51"/>
    <w:rsid w:val="008E34C1"/>
    <w:rsid w:val="008E4479"/>
    <w:rsid w:val="008E496D"/>
    <w:rsid w:val="008E5754"/>
    <w:rsid w:val="008E652D"/>
    <w:rsid w:val="008E68EC"/>
    <w:rsid w:val="008E6C77"/>
    <w:rsid w:val="008E70F9"/>
    <w:rsid w:val="008E7AFB"/>
    <w:rsid w:val="008F1002"/>
    <w:rsid w:val="008F11F8"/>
    <w:rsid w:val="008F14BF"/>
    <w:rsid w:val="008F1E44"/>
    <w:rsid w:val="008F2630"/>
    <w:rsid w:val="008F347F"/>
    <w:rsid w:val="008F37B6"/>
    <w:rsid w:val="008F3D42"/>
    <w:rsid w:val="008F5085"/>
    <w:rsid w:val="008F5508"/>
    <w:rsid w:val="008F72A2"/>
    <w:rsid w:val="008F7CEF"/>
    <w:rsid w:val="0090055A"/>
    <w:rsid w:val="00902ACC"/>
    <w:rsid w:val="00902DCF"/>
    <w:rsid w:val="00903160"/>
    <w:rsid w:val="00903343"/>
    <w:rsid w:val="009035FB"/>
    <w:rsid w:val="009059E1"/>
    <w:rsid w:val="00906366"/>
    <w:rsid w:val="00906626"/>
    <w:rsid w:val="00906F8A"/>
    <w:rsid w:val="0090724F"/>
    <w:rsid w:val="0091037D"/>
    <w:rsid w:val="00910A60"/>
    <w:rsid w:val="00910B83"/>
    <w:rsid w:val="0091119F"/>
    <w:rsid w:val="00911727"/>
    <w:rsid w:val="00912828"/>
    <w:rsid w:val="009132AF"/>
    <w:rsid w:val="009139AE"/>
    <w:rsid w:val="0091431C"/>
    <w:rsid w:val="00914800"/>
    <w:rsid w:val="00914A18"/>
    <w:rsid w:val="00914C15"/>
    <w:rsid w:val="009150AA"/>
    <w:rsid w:val="009154B5"/>
    <w:rsid w:val="0091583E"/>
    <w:rsid w:val="0091611C"/>
    <w:rsid w:val="0091650F"/>
    <w:rsid w:val="00916966"/>
    <w:rsid w:val="00917171"/>
    <w:rsid w:val="009171CC"/>
    <w:rsid w:val="0091739C"/>
    <w:rsid w:val="009173A2"/>
    <w:rsid w:val="009173A4"/>
    <w:rsid w:val="009178A0"/>
    <w:rsid w:val="009178EB"/>
    <w:rsid w:val="00921C0F"/>
    <w:rsid w:val="00923456"/>
    <w:rsid w:val="009238F8"/>
    <w:rsid w:val="0092489C"/>
    <w:rsid w:val="00924958"/>
    <w:rsid w:val="009252E2"/>
    <w:rsid w:val="009259AD"/>
    <w:rsid w:val="00925A23"/>
    <w:rsid w:val="00926EFB"/>
    <w:rsid w:val="009274DC"/>
    <w:rsid w:val="00927E45"/>
    <w:rsid w:val="0093153D"/>
    <w:rsid w:val="00931738"/>
    <w:rsid w:val="00932587"/>
    <w:rsid w:val="00932D94"/>
    <w:rsid w:val="009334E1"/>
    <w:rsid w:val="0093385D"/>
    <w:rsid w:val="009342DC"/>
    <w:rsid w:val="009345F9"/>
    <w:rsid w:val="0093465D"/>
    <w:rsid w:val="00934970"/>
    <w:rsid w:val="00934E5E"/>
    <w:rsid w:val="0093539C"/>
    <w:rsid w:val="00935443"/>
    <w:rsid w:val="00935713"/>
    <w:rsid w:val="00935807"/>
    <w:rsid w:val="00935C56"/>
    <w:rsid w:val="009365E0"/>
    <w:rsid w:val="009370C9"/>
    <w:rsid w:val="00937271"/>
    <w:rsid w:val="00941875"/>
    <w:rsid w:val="009424CA"/>
    <w:rsid w:val="009429D0"/>
    <w:rsid w:val="009432A6"/>
    <w:rsid w:val="0094380B"/>
    <w:rsid w:val="00943AB5"/>
    <w:rsid w:val="00945059"/>
    <w:rsid w:val="00945E2D"/>
    <w:rsid w:val="00946086"/>
    <w:rsid w:val="00946425"/>
    <w:rsid w:val="0094655C"/>
    <w:rsid w:val="00946592"/>
    <w:rsid w:val="00946BBF"/>
    <w:rsid w:val="0094712D"/>
    <w:rsid w:val="00947182"/>
    <w:rsid w:val="0094768B"/>
    <w:rsid w:val="009478A0"/>
    <w:rsid w:val="00947E9D"/>
    <w:rsid w:val="0095080B"/>
    <w:rsid w:val="0095112F"/>
    <w:rsid w:val="00951D88"/>
    <w:rsid w:val="00952139"/>
    <w:rsid w:val="00952252"/>
    <w:rsid w:val="009534FA"/>
    <w:rsid w:val="0095367C"/>
    <w:rsid w:val="009538DE"/>
    <w:rsid w:val="00953FF4"/>
    <w:rsid w:val="00954EBC"/>
    <w:rsid w:val="009551CF"/>
    <w:rsid w:val="00955ECF"/>
    <w:rsid w:val="00956385"/>
    <w:rsid w:val="00956E3E"/>
    <w:rsid w:val="00956FBA"/>
    <w:rsid w:val="00957262"/>
    <w:rsid w:val="00957835"/>
    <w:rsid w:val="00957968"/>
    <w:rsid w:val="00957CF1"/>
    <w:rsid w:val="00961291"/>
    <w:rsid w:val="00961B00"/>
    <w:rsid w:val="009621D4"/>
    <w:rsid w:val="00962F4A"/>
    <w:rsid w:val="009636A0"/>
    <w:rsid w:val="00963842"/>
    <w:rsid w:val="00963E63"/>
    <w:rsid w:val="009642E4"/>
    <w:rsid w:val="00964ECA"/>
    <w:rsid w:val="00965567"/>
    <w:rsid w:val="009672A6"/>
    <w:rsid w:val="00967EB2"/>
    <w:rsid w:val="00970018"/>
    <w:rsid w:val="009707A5"/>
    <w:rsid w:val="009713D0"/>
    <w:rsid w:val="00971BDA"/>
    <w:rsid w:val="00971FF5"/>
    <w:rsid w:val="00972FF1"/>
    <w:rsid w:val="009733F7"/>
    <w:rsid w:val="00973805"/>
    <w:rsid w:val="00973BCD"/>
    <w:rsid w:val="00975C5E"/>
    <w:rsid w:val="00975C84"/>
    <w:rsid w:val="00975DFC"/>
    <w:rsid w:val="009766C3"/>
    <w:rsid w:val="00977FF1"/>
    <w:rsid w:val="00980222"/>
    <w:rsid w:val="00980623"/>
    <w:rsid w:val="009824CD"/>
    <w:rsid w:val="00982E7F"/>
    <w:rsid w:val="00983830"/>
    <w:rsid w:val="0098430A"/>
    <w:rsid w:val="0098455C"/>
    <w:rsid w:val="009846F8"/>
    <w:rsid w:val="009850AC"/>
    <w:rsid w:val="00985949"/>
    <w:rsid w:val="009866DB"/>
    <w:rsid w:val="00986BE2"/>
    <w:rsid w:val="00987335"/>
    <w:rsid w:val="00987AAF"/>
    <w:rsid w:val="00987E2F"/>
    <w:rsid w:val="00990CE9"/>
    <w:rsid w:val="00990E1E"/>
    <w:rsid w:val="0099140E"/>
    <w:rsid w:val="0099174E"/>
    <w:rsid w:val="00991B09"/>
    <w:rsid w:val="00991C40"/>
    <w:rsid w:val="00991EA9"/>
    <w:rsid w:val="0099265B"/>
    <w:rsid w:val="009932E2"/>
    <w:rsid w:val="009933C5"/>
    <w:rsid w:val="00993435"/>
    <w:rsid w:val="00994638"/>
    <w:rsid w:val="00994C01"/>
    <w:rsid w:val="00994DB6"/>
    <w:rsid w:val="0099525D"/>
    <w:rsid w:val="00995812"/>
    <w:rsid w:val="0099591A"/>
    <w:rsid w:val="00995BEF"/>
    <w:rsid w:val="0099713A"/>
    <w:rsid w:val="009976C7"/>
    <w:rsid w:val="009977B2"/>
    <w:rsid w:val="009A0076"/>
    <w:rsid w:val="009A00C1"/>
    <w:rsid w:val="009A03E9"/>
    <w:rsid w:val="009A0439"/>
    <w:rsid w:val="009A0F2C"/>
    <w:rsid w:val="009A1361"/>
    <w:rsid w:val="009A19F7"/>
    <w:rsid w:val="009A1DEC"/>
    <w:rsid w:val="009A1E7C"/>
    <w:rsid w:val="009A2B67"/>
    <w:rsid w:val="009A3205"/>
    <w:rsid w:val="009A4505"/>
    <w:rsid w:val="009A4535"/>
    <w:rsid w:val="009A53CE"/>
    <w:rsid w:val="009A62E1"/>
    <w:rsid w:val="009A6D86"/>
    <w:rsid w:val="009A7604"/>
    <w:rsid w:val="009A7A22"/>
    <w:rsid w:val="009B0563"/>
    <w:rsid w:val="009B09A8"/>
    <w:rsid w:val="009B0E21"/>
    <w:rsid w:val="009B0FAA"/>
    <w:rsid w:val="009B12EB"/>
    <w:rsid w:val="009B1B7D"/>
    <w:rsid w:val="009B2526"/>
    <w:rsid w:val="009B2A62"/>
    <w:rsid w:val="009B2C1E"/>
    <w:rsid w:val="009B30C4"/>
    <w:rsid w:val="009B3148"/>
    <w:rsid w:val="009B3F97"/>
    <w:rsid w:val="009B49C1"/>
    <w:rsid w:val="009B4F48"/>
    <w:rsid w:val="009B4FB1"/>
    <w:rsid w:val="009B573B"/>
    <w:rsid w:val="009B5900"/>
    <w:rsid w:val="009B5CAB"/>
    <w:rsid w:val="009B5D75"/>
    <w:rsid w:val="009B6111"/>
    <w:rsid w:val="009B70F0"/>
    <w:rsid w:val="009B716F"/>
    <w:rsid w:val="009B719C"/>
    <w:rsid w:val="009B7620"/>
    <w:rsid w:val="009B7C48"/>
    <w:rsid w:val="009B7DAB"/>
    <w:rsid w:val="009C0C48"/>
    <w:rsid w:val="009C1717"/>
    <w:rsid w:val="009C18BC"/>
    <w:rsid w:val="009C24DC"/>
    <w:rsid w:val="009C2C73"/>
    <w:rsid w:val="009C2DDB"/>
    <w:rsid w:val="009C312A"/>
    <w:rsid w:val="009C4272"/>
    <w:rsid w:val="009C4CB5"/>
    <w:rsid w:val="009C4E00"/>
    <w:rsid w:val="009C4F8E"/>
    <w:rsid w:val="009C5101"/>
    <w:rsid w:val="009C5206"/>
    <w:rsid w:val="009C6ADD"/>
    <w:rsid w:val="009C7158"/>
    <w:rsid w:val="009C7378"/>
    <w:rsid w:val="009C7AF9"/>
    <w:rsid w:val="009C7B4D"/>
    <w:rsid w:val="009C7E8E"/>
    <w:rsid w:val="009D02C8"/>
    <w:rsid w:val="009D0A61"/>
    <w:rsid w:val="009D0B28"/>
    <w:rsid w:val="009D120F"/>
    <w:rsid w:val="009D1738"/>
    <w:rsid w:val="009D1DAB"/>
    <w:rsid w:val="009D1ECE"/>
    <w:rsid w:val="009D256A"/>
    <w:rsid w:val="009D2A8D"/>
    <w:rsid w:val="009D2F2F"/>
    <w:rsid w:val="009D32FF"/>
    <w:rsid w:val="009D4881"/>
    <w:rsid w:val="009D4D8F"/>
    <w:rsid w:val="009D5352"/>
    <w:rsid w:val="009D5D06"/>
    <w:rsid w:val="009D785B"/>
    <w:rsid w:val="009E0016"/>
    <w:rsid w:val="009E053C"/>
    <w:rsid w:val="009E0D5B"/>
    <w:rsid w:val="009E12B0"/>
    <w:rsid w:val="009E165E"/>
    <w:rsid w:val="009E178A"/>
    <w:rsid w:val="009E1E4B"/>
    <w:rsid w:val="009E260F"/>
    <w:rsid w:val="009E36FF"/>
    <w:rsid w:val="009E4509"/>
    <w:rsid w:val="009E486F"/>
    <w:rsid w:val="009E5ECA"/>
    <w:rsid w:val="009E6A72"/>
    <w:rsid w:val="009E6B1A"/>
    <w:rsid w:val="009F0126"/>
    <w:rsid w:val="009F036C"/>
    <w:rsid w:val="009F049C"/>
    <w:rsid w:val="009F2874"/>
    <w:rsid w:val="009F3AED"/>
    <w:rsid w:val="009F3E7E"/>
    <w:rsid w:val="009F5366"/>
    <w:rsid w:val="009F54CE"/>
    <w:rsid w:val="009F5CFD"/>
    <w:rsid w:val="009F5E1A"/>
    <w:rsid w:val="009F60E8"/>
    <w:rsid w:val="009F6421"/>
    <w:rsid w:val="00A002A5"/>
    <w:rsid w:val="00A00C03"/>
    <w:rsid w:val="00A011D5"/>
    <w:rsid w:val="00A01643"/>
    <w:rsid w:val="00A0183B"/>
    <w:rsid w:val="00A02345"/>
    <w:rsid w:val="00A02A53"/>
    <w:rsid w:val="00A02DE9"/>
    <w:rsid w:val="00A030A5"/>
    <w:rsid w:val="00A03269"/>
    <w:rsid w:val="00A04D40"/>
    <w:rsid w:val="00A05D64"/>
    <w:rsid w:val="00A05FD4"/>
    <w:rsid w:val="00A0696A"/>
    <w:rsid w:val="00A06ACA"/>
    <w:rsid w:val="00A06EED"/>
    <w:rsid w:val="00A1127D"/>
    <w:rsid w:val="00A11989"/>
    <w:rsid w:val="00A123DB"/>
    <w:rsid w:val="00A137AA"/>
    <w:rsid w:val="00A140E1"/>
    <w:rsid w:val="00A140FF"/>
    <w:rsid w:val="00A1443A"/>
    <w:rsid w:val="00A144C4"/>
    <w:rsid w:val="00A145EC"/>
    <w:rsid w:val="00A158ED"/>
    <w:rsid w:val="00A15995"/>
    <w:rsid w:val="00A168D2"/>
    <w:rsid w:val="00A170F8"/>
    <w:rsid w:val="00A17686"/>
    <w:rsid w:val="00A17D62"/>
    <w:rsid w:val="00A17D84"/>
    <w:rsid w:val="00A2021A"/>
    <w:rsid w:val="00A202E6"/>
    <w:rsid w:val="00A206AF"/>
    <w:rsid w:val="00A20775"/>
    <w:rsid w:val="00A20C35"/>
    <w:rsid w:val="00A21B83"/>
    <w:rsid w:val="00A21DB1"/>
    <w:rsid w:val="00A228E8"/>
    <w:rsid w:val="00A229C5"/>
    <w:rsid w:val="00A22BEB"/>
    <w:rsid w:val="00A237B2"/>
    <w:rsid w:val="00A23A4B"/>
    <w:rsid w:val="00A23C40"/>
    <w:rsid w:val="00A2459A"/>
    <w:rsid w:val="00A248EE"/>
    <w:rsid w:val="00A24BD9"/>
    <w:rsid w:val="00A24F98"/>
    <w:rsid w:val="00A25619"/>
    <w:rsid w:val="00A25BD6"/>
    <w:rsid w:val="00A263AC"/>
    <w:rsid w:val="00A267A1"/>
    <w:rsid w:val="00A2756E"/>
    <w:rsid w:val="00A308FC"/>
    <w:rsid w:val="00A31FEE"/>
    <w:rsid w:val="00A32005"/>
    <w:rsid w:val="00A326C5"/>
    <w:rsid w:val="00A32DF4"/>
    <w:rsid w:val="00A330EA"/>
    <w:rsid w:val="00A33CDB"/>
    <w:rsid w:val="00A33F75"/>
    <w:rsid w:val="00A3414E"/>
    <w:rsid w:val="00A349C5"/>
    <w:rsid w:val="00A35A42"/>
    <w:rsid w:val="00A369C3"/>
    <w:rsid w:val="00A36B62"/>
    <w:rsid w:val="00A37688"/>
    <w:rsid w:val="00A37733"/>
    <w:rsid w:val="00A4171C"/>
    <w:rsid w:val="00A41A7B"/>
    <w:rsid w:val="00A41BA7"/>
    <w:rsid w:val="00A41FA4"/>
    <w:rsid w:val="00A42366"/>
    <w:rsid w:val="00A4269F"/>
    <w:rsid w:val="00A42D2E"/>
    <w:rsid w:val="00A4319B"/>
    <w:rsid w:val="00A43EA3"/>
    <w:rsid w:val="00A44E31"/>
    <w:rsid w:val="00A44E69"/>
    <w:rsid w:val="00A45DCB"/>
    <w:rsid w:val="00A462EA"/>
    <w:rsid w:val="00A46506"/>
    <w:rsid w:val="00A472BA"/>
    <w:rsid w:val="00A479E6"/>
    <w:rsid w:val="00A47F37"/>
    <w:rsid w:val="00A500AF"/>
    <w:rsid w:val="00A5079A"/>
    <w:rsid w:val="00A50F41"/>
    <w:rsid w:val="00A51F58"/>
    <w:rsid w:val="00A5230A"/>
    <w:rsid w:val="00A5230B"/>
    <w:rsid w:val="00A524E3"/>
    <w:rsid w:val="00A52CD8"/>
    <w:rsid w:val="00A53778"/>
    <w:rsid w:val="00A53F76"/>
    <w:rsid w:val="00A54198"/>
    <w:rsid w:val="00A5481E"/>
    <w:rsid w:val="00A56FA5"/>
    <w:rsid w:val="00A570F0"/>
    <w:rsid w:val="00A5791E"/>
    <w:rsid w:val="00A579DC"/>
    <w:rsid w:val="00A57E4C"/>
    <w:rsid w:val="00A60754"/>
    <w:rsid w:val="00A60B9A"/>
    <w:rsid w:val="00A61017"/>
    <w:rsid w:val="00A61652"/>
    <w:rsid w:val="00A6332A"/>
    <w:rsid w:val="00A63994"/>
    <w:rsid w:val="00A63B9F"/>
    <w:rsid w:val="00A63EA6"/>
    <w:rsid w:val="00A64D2B"/>
    <w:rsid w:val="00A64E2B"/>
    <w:rsid w:val="00A64F30"/>
    <w:rsid w:val="00A64FB2"/>
    <w:rsid w:val="00A651A8"/>
    <w:rsid w:val="00A655E0"/>
    <w:rsid w:val="00A65EF8"/>
    <w:rsid w:val="00A66647"/>
    <w:rsid w:val="00A66988"/>
    <w:rsid w:val="00A66B21"/>
    <w:rsid w:val="00A66C49"/>
    <w:rsid w:val="00A673E7"/>
    <w:rsid w:val="00A67521"/>
    <w:rsid w:val="00A67E0D"/>
    <w:rsid w:val="00A708C8"/>
    <w:rsid w:val="00A70DA4"/>
    <w:rsid w:val="00A71D59"/>
    <w:rsid w:val="00A72C43"/>
    <w:rsid w:val="00A72DFD"/>
    <w:rsid w:val="00A72E6C"/>
    <w:rsid w:val="00A72F6F"/>
    <w:rsid w:val="00A7348D"/>
    <w:rsid w:val="00A7358D"/>
    <w:rsid w:val="00A751DC"/>
    <w:rsid w:val="00A757F4"/>
    <w:rsid w:val="00A763C3"/>
    <w:rsid w:val="00A763CB"/>
    <w:rsid w:val="00A767B9"/>
    <w:rsid w:val="00A768C1"/>
    <w:rsid w:val="00A76F66"/>
    <w:rsid w:val="00A77E66"/>
    <w:rsid w:val="00A80563"/>
    <w:rsid w:val="00A813BC"/>
    <w:rsid w:val="00A81471"/>
    <w:rsid w:val="00A81B64"/>
    <w:rsid w:val="00A824B3"/>
    <w:rsid w:val="00A8334F"/>
    <w:rsid w:val="00A8384D"/>
    <w:rsid w:val="00A83B4B"/>
    <w:rsid w:val="00A84648"/>
    <w:rsid w:val="00A84E31"/>
    <w:rsid w:val="00A85116"/>
    <w:rsid w:val="00A856C8"/>
    <w:rsid w:val="00A85C0E"/>
    <w:rsid w:val="00A8620D"/>
    <w:rsid w:val="00A86D23"/>
    <w:rsid w:val="00A873A1"/>
    <w:rsid w:val="00A87567"/>
    <w:rsid w:val="00A87581"/>
    <w:rsid w:val="00A87AD4"/>
    <w:rsid w:val="00A90097"/>
    <w:rsid w:val="00A90622"/>
    <w:rsid w:val="00A907E2"/>
    <w:rsid w:val="00A9216E"/>
    <w:rsid w:val="00A923C4"/>
    <w:rsid w:val="00A9267B"/>
    <w:rsid w:val="00A932AA"/>
    <w:rsid w:val="00A93918"/>
    <w:rsid w:val="00A93AF4"/>
    <w:rsid w:val="00A93C3B"/>
    <w:rsid w:val="00A94702"/>
    <w:rsid w:val="00A95CB6"/>
    <w:rsid w:val="00A969B1"/>
    <w:rsid w:val="00A96FA4"/>
    <w:rsid w:val="00A9743C"/>
    <w:rsid w:val="00A97A89"/>
    <w:rsid w:val="00A97E9C"/>
    <w:rsid w:val="00AA02A3"/>
    <w:rsid w:val="00AA0FA9"/>
    <w:rsid w:val="00AA19B9"/>
    <w:rsid w:val="00AA1A37"/>
    <w:rsid w:val="00AA1A51"/>
    <w:rsid w:val="00AA2133"/>
    <w:rsid w:val="00AA2FDB"/>
    <w:rsid w:val="00AA32BB"/>
    <w:rsid w:val="00AA4047"/>
    <w:rsid w:val="00AA471E"/>
    <w:rsid w:val="00AA4F0B"/>
    <w:rsid w:val="00AA5739"/>
    <w:rsid w:val="00AA5EF2"/>
    <w:rsid w:val="00AA7030"/>
    <w:rsid w:val="00AA7EE4"/>
    <w:rsid w:val="00AB0AC0"/>
    <w:rsid w:val="00AB146C"/>
    <w:rsid w:val="00AB185F"/>
    <w:rsid w:val="00AB2874"/>
    <w:rsid w:val="00AB2D2E"/>
    <w:rsid w:val="00AB2F1F"/>
    <w:rsid w:val="00AB32A1"/>
    <w:rsid w:val="00AB4228"/>
    <w:rsid w:val="00AB4617"/>
    <w:rsid w:val="00AB47BB"/>
    <w:rsid w:val="00AB4897"/>
    <w:rsid w:val="00AB50AD"/>
    <w:rsid w:val="00AB5795"/>
    <w:rsid w:val="00AB695E"/>
    <w:rsid w:val="00AB7397"/>
    <w:rsid w:val="00AC048E"/>
    <w:rsid w:val="00AC194B"/>
    <w:rsid w:val="00AC1D02"/>
    <w:rsid w:val="00AC21E4"/>
    <w:rsid w:val="00AC2E2C"/>
    <w:rsid w:val="00AC3274"/>
    <w:rsid w:val="00AC3DE3"/>
    <w:rsid w:val="00AC42E4"/>
    <w:rsid w:val="00AC43A7"/>
    <w:rsid w:val="00AC44E2"/>
    <w:rsid w:val="00AC4635"/>
    <w:rsid w:val="00AC67CE"/>
    <w:rsid w:val="00AC7D6C"/>
    <w:rsid w:val="00AD053B"/>
    <w:rsid w:val="00AD0DA8"/>
    <w:rsid w:val="00AD0EFD"/>
    <w:rsid w:val="00AD1134"/>
    <w:rsid w:val="00AD13B0"/>
    <w:rsid w:val="00AD2503"/>
    <w:rsid w:val="00AD2EAA"/>
    <w:rsid w:val="00AD484E"/>
    <w:rsid w:val="00AD49C6"/>
    <w:rsid w:val="00AD4E58"/>
    <w:rsid w:val="00AD4F7A"/>
    <w:rsid w:val="00AD5464"/>
    <w:rsid w:val="00AD5478"/>
    <w:rsid w:val="00AD61C3"/>
    <w:rsid w:val="00AD6E6A"/>
    <w:rsid w:val="00AD7D4F"/>
    <w:rsid w:val="00AD7DA6"/>
    <w:rsid w:val="00AE0AF6"/>
    <w:rsid w:val="00AE0C35"/>
    <w:rsid w:val="00AE0CAA"/>
    <w:rsid w:val="00AE0D40"/>
    <w:rsid w:val="00AE0D8D"/>
    <w:rsid w:val="00AE16D5"/>
    <w:rsid w:val="00AE1A03"/>
    <w:rsid w:val="00AE1CF4"/>
    <w:rsid w:val="00AE3207"/>
    <w:rsid w:val="00AE3679"/>
    <w:rsid w:val="00AE39A7"/>
    <w:rsid w:val="00AE3D3B"/>
    <w:rsid w:val="00AE3EBD"/>
    <w:rsid w:val="00AE3EF1"/>
    <w:rsid w:val="00AE4D1C"/>
    <w:rsid w:val="00AE4F7A"/>
    <w:rsid w:val="00AE5816"/>
    <w:rsid w:val="00AE5EA7"/>
    <w:rsid w:val="00AE6440"/>
    <w:rsid w:val="00AE680F"/>
    <w:rsid w:val="00AE7191"/>
    <w:rsid w:val="00AE7E93"/>
    <w:rsid w:val="00AF11F8"/>
    <w:rsid w:val="00AF148F"/>
    <w:rsid w:val="00AF1FE8"/>
    <w:rsid w:val="00AF2DCC"/>
    <w:rsid w:val="00AF300A"/>
    <w:rsid w:val="00AF31B7"/>
    <w:rsid w:val="00AF323C"/>
    <w:rsid w:val="00AF3566"/>
    <w:rsid w:val="00AF4948"/>
    <w:rsid w:val="00AF4F3B"/>
    <w:rsid w:val="00AF57E7"/>
    <w:rsid w:val="00AF5C5A"/>
    <w:rsid w:val="00AF6C57"/>
    <w:rsid w:val="00AF7578"/>
    <w:rsid w:val="00AF75BC"/>
    <w:rsid w:val="00AF77D7"/>
    <w:rsid w:val="00AF7C73"/>
    <w:rsid w:val="00AF7C7D"/>
    <w:rsid w:val="00AF7F71"/>
    <w:rsid w:val="00B01415"/>
    <w:rsid w:val="00B02413"/>
    <w:rsid w:val="00B035DB"/>
    <w:rsid w:val="00B04543"/>
    <w:rsid w:val="00B0554E"/>
    <w:rsid w:val="00B05FD3"/>
    <w:rsid w:val="00B06EE8"/>
    <w:rsid w:val="00B0738F"/>
    <w:rsid w:val="00B10463"/>
    <w:rsid w:val="00B11110"/>
    <w:rsid w:val="00B11740"/>
    <w:rsid w:val="00B11BFC"/>
    <w:rsid w:val="00B11C7B"/>
    <w:rsid w:val="00B1280E"/>
    <w:rsid w:val="00B13096"/>
    <w:rsid w:val="00B1354F"/>
    <w:rsid w:val="00B1374D"/>
    <w:rsid w:val="00B139BF"/>
    <w:rsid w:val="00B13ABB"/>
    <w:rsid w:val="00B13B9A"/>
    <w:rsid w:val="00B13D90"/>
    <w:rsid w:val="00B146E2"/>
    <w:rsid w:val="00B14A2E"/>
    <w:rsid w:val="00B15A03"/>
    <w:rsid w:val="00B160AB"/>
    <w:rsid w:val="00B163C1"/>
    <w:rsid w:val="00B16616"/>
    <w:rsid w:val="00B1667D"/>
    <w:rsid w:val="00B16772"/>
    <w:rsid w:val="00B16C10"/>
    <w:rsid w:val="00B172DB"/>
    <w:rsid w:val="00B17F06"/>
    <w:rsid w:val="00B200CA"/>
    <w:rsid w:val="00B20A11"/>
    <w:rsid w:val="00B20F4E"/>
    <w:rsid w:val="00B2196F"/>
    <w:rsid w:val="00B219F5"/>
    <w:rsid w:val="00B21A69"/>
    <w:rsid w:val="00B223EE"/>
    <w:rsid w:val="00B225D5"/>
    <w:rsid w:val="00B22779"/>
    <w:rsid w:val="00B22B84"/>
    <w:rsid w:val="00B23EFC"/>
    <w:rsid w:val="00B23F3B"/>
    <w:rsid w:val="00B250D4"/>
    <w:rsid w:val="00B25E71"/>
    <w:rsid w:val="00B25FBC"/>
    <w:rsid w:val="00B31AE7"/>
    <w:rsid w:val="00B31E18"/>
    <w:rsid w:val="00B320B3"/>
    <w:rsid w:val="00B3240D"/>
    <w:rsid w:val="00B334FC"/>
    <w:rsid w:val="00B339F0"/>
    <w:rsid w:val="00B34453"/>
    <w:rsid w:val="00B3451A"/>
    <w:rsid w:val="00B3556D"/>
    <w:rsid w:val="00B3577F"/>
    <w:rsid w:val="00B357A6"/>
    <w:rsid w:val="00B360C2"/>
    <w:rsid w:val="00B364D0"/>
    <w:rsid w:val="00B366C9"/>
    <w:rsid w:val="00B36894"/>
    <w:rsid w:val="00B369CA"/>
    <w:rsid w:val="00B373B6"/>
    <w:rsid w:val="00B37BC5"/>
    <w:rsid w:val="00B37D0A"/>
    <w:rsid w:val="00B37D24"/>
    <w:rsid w:val="00B37E86"/>
    <w:rsid w:val="00B37F95"/>
    <w:rsid w:val="00B40595"/>
    <w:rsid w:val="00B40E80"/>
    <w:rsid w:val="00B417D3"/>
    <w:rsid w:val="00B41B46"/>
    <w:rsid w:val="00B41E19"/>
    <w:rsid w:val="00B41EA4"/>
    <w:rsid w:val="00B4234F"/>
    <w:rsid w:val="00B42F85"/>
    <w:rsid w:val="00B432F7"/>
    <w:rsid w:val="00B43D4F"/>
    <w:rsid w:val="00B43E09"/>
    <w:rsid w:val="00B4493F"/>
    <w:rsid w:val="00B45FE7"/>
    <w:rsid w:val="00B466EC"/>
    <w:rsid w:val="00B46EC0"/>
    <w:rsid w:val="00B471D7"/>
    <w:rsid w:val="00B47CDC"/>
    <w:rsid w:val="00B47D8F"/>
    <w:rsid w:val="00B50BAF"/>
    <w:rsid w:val="00B515DE"/>
    <w:rsid w:val="00B51A75"/>
    <w:rsid w:val="00B51AE1"/>
    <w:rsid w:val="00B51F29"/>
    <w:rsid w:val="00B520A2"/>
    <w:rsid w:val="00B52BCD"/>
    <w:rsid w:val="00B52C5F"/>
    <w:rsid w:val="00B53588"/>
    <w:rsid w:val="00B545E2"/>
    <w:rsid w:val="00B546D2"/>
    <w:rsid w:val="00B549A1"/>
    <w:rsid w:val="00B54EA0"/>
    <w:rsid w:val="00B54FE7"/>
    <w:rsid w:val="00B550B4"/>
    <w:rsid w:val="00B55584"/>
    <w:rsid w:val="00B564F0"/>
    <w:rsid w:val="00B56775"/>
    <w:rsid w:val="00B56D4C"/>
    <w:rsid w:val="00B576C2"/>
    <w:rsid w:val="00B5798D"/>
    <w:rsid w:val="00B6075E"/>
    <w:rsid w:val="00B624AD"/>
    <w:rsid w:val="00B629D5"/>
    <w:rsid w:val="00B63B5A"/>
    <w:rsid w:val="00B646C1"/>
    <w:rsid w:val="00B64764"/>
    <w:rsid w:val="00B66979"/>
    <w:rsid w:val="00B66ACC"/>
    <w:rsid w:val="00B672C9"/>
    <w:rsid w:val="00B67EC3"/>
    <w:rsid w:val="00B7072D"/>
    <w:rsid w:val="00B70D15"/>
    <w:rsid w:val="00B70DD9"/>
    <w:rsid w:val="00B72F83"/>
    <w:rsid w:val="00B73E4A"/>
    <w:rsid w:val="00B7415C"/>
    <w:rsid w:val="00B74688"/>
    <w:rsid w:val="00B74D18"/>
    <w:rsid w:val="00B74FE8"/>
    <w:rsid w:val="00B755D2"/>
    <w:rsid w:val="00B756EA"/>
    <w:rsid w:val="00B75F26"/>
    <w:rsid w:val="00B76A30"/>
    <w:rsid w:val="00B76A41"/>
    <w:rsid w:val="00B76E06"/>
    <w:rsid w:val="00B7757B"/>
    <w:rsid w:val="00B77791"/>
    <w:rsid w:val="00B77D95"/>
    <w:rsid w:val="00B77E72"/>
    <w:rsid w:val="00B80A26"/>
    <w:rsid w:val="00B80BD6"/>
    <w:rsid w:val="00B82034"/>
    <w:rsid w:val="00B84103"/>
    <w:rsid w:val="00B87BD2"/>
    <w:rsid w:val="00B90101"/>
    <w:rsid w:val="00B90EB3"/>
    <w:rsid w:val="00B918F1"/>
    <w:rsid w:val="00B9248F"/>
    <w:rsid w:val="00B9263F"/>
    <w:rsid w:val="00B92C3B"/>
    <w:rsid w:val="00B92D07"/>
    <w:rsid w:val="00B92EDB"/>
    <w:rsid w:val="00B93C83"/>
    <w:rsid w:val="00B952E1"/>
    <w:rsid w:val="00B954EF"/>
    <w:rsid w:val="00B95B76"/>
    <w:rsid w:val="00B9674A"/>
    <w:rsid w:val="00B97524"/>
    <w:rsid w:val="00B975F8"/>
    <w:rsid w:val="00B97A51"/>
    <w:rsid w:val="00BA0680"/>
    <w:rsid w:val="00BA0FD7"/>
    <w:rsid w:val="00BA120B"/>
    <w:rsid w:val="00BA1B5E"/>
    <w:rsid w:val="00BA1BF1"/>
    <w:rsid w:val="00BA1C91"/>
    <w:rsid w:val="00BA203E"/>
    <w:rsid w:val="00BA255D"/>
    <w:rsid w:val="00BA3279"/>
    <w:rsid w:val="00BA3903"/>
    <w:rsid w:val="00BA3AE6"/>
    <w:rsid w:val="00BA4052"/>
    <w:rsid w:val="00BA47D1"/>
    <w:rsid w:val="00BA503B"/>
    <w:rsid w:val="00BA55F4"/>
    <w:rsid w:val="00BA6049"/>
    <w:rsid w:val="00BA6880"/>
    <w:rsid w:val="00BA6915"/>
    <w:rsid w:val="00BA6921"/>
    <w:rsid w:val="00BA77B5"/>
    <w:rsid w:val="00BA79E0"/>
    <w:rsid w:val="00BA7E1E"/>
    <w:rsid w:val="00BB058D"/>
    <w:rsid w:val="00BB161C"/>
    <w:rsid w:val="00BB16F9"/>
    <w:rsid w:val="00BB17C4"/>
    <w:rsid w:val="00BB1D28"/>
    <w:rsid w:val="00BB260F"/>
    <w:rsid w:val="00BB3672"/>
    <w:rsid w:val="00BB43BD"/>
    <w:rsid w:val="00BB4BC0"/>
    <w:rsid w:val="00BB4D57"/>
    <w:rsid w:val="00BB4E5B"/>
    <w:rsid w:val="00BB54E9"/>
    <w:rsid w:val="00BB5EC4"/>
    <w:rsid w:val="00BB6154"/>
    <w:rsid w:val="00BB62E3"/>
    <w:rsid w:val="00BB747C"/>
    <w:rsid w:val="00BC0355"/>
    <w:rsid w:val="00BC093E"/>
    <w:rsid w:val="00BC1412"/>
    <w:rsid w:val="00BC1A72"/>
    <w:rsid w:val="00BC2001"/>
    <w:rsid w:val="00BC259A"/>
    <w:rsid w:val="00BC29CA"/>
    <w:rsid w:val="00BC34E0"/>
    <w:rsid w:val="00BC3A88"/>
    <w:rsid w:val="00BC438B"/>
    <w:rsid w:val="00BC4C3D"/>
    <w:rsid w:val="00BC5F70"/>
    <w:rsid w:val="00BC61BA"/>
    <w:rsid w:val="00BC6410"/>
    <w:rsid w:val="00BC69CE"/>
    <w:rsid w:val="00BC6E28"/>
    <w:rsid w:val="00BC6F47"/>
    <w:rsid w:val="00BC7043"/>
    <w:rsid w:val="00BC7933"/>
    <w:rsid w:val="00BC7E68"/>
    <w:rsid w:val="00BC7E8D"/>
    <w:rsid w:val="00BC7FE1"/>
    <w:rsid w:val="00BD0174"/>
    <w:rsid w:val="00BD06B2"/>
    <w:rsid w:val="00BD11CC"/>
    <w:rsid w:val="00BD151E"/>
    <w:rsid w:val="00BD164D"/>
    <w:rsid w:val="00BD1A20"/>
    <w:rsid w:val="00BD1A6E"/>
    <w:rsid w:val="00BD1E78"/>
    <w:rsid w:val="00BD202E"/>
    <w:rsid w:val="00BD2687"/>
    <w:rsid w:val="00BD43C3"/>
    <w:rsid w:val="00BD58AB"/>
    <w:rsid w:val="00BD58D2"/>
    <w:rsid w:val="00BD6F37"/>
    <w:rsid w:val="00BD7A12"/>
    <w:rsid w:val="00BE0048"/>
    <w:rsid w:val="00BE0206"/>
    <w:rsid w:val="00BE035B"/>
    <w:rsid w:val="00BE05D4"/>
    <w:rsid w:val="00BE07BC"/>
    <w:rsid w:val="00BE0F96"/>
    <w:rsid w:val="00BE1D30"/>
    <w:rsid w:val="00BE20E8"/>
    <w:rsid w:val="00BE29A0"/>
    <w:rsid w:val="00BE2F7A"/>
    <w:rsid w:val="00BE442A"/>
    <w:rsid w:val="00BE4F69"/>
    <w:rsid w:val="00BE5620"/>
    <w:rsid w:val="00BE567F"/>
    <w:rsid w:val="00BE70D7"/>
    <w:rsid w:val="00BE712B"/>
    <w:rsid w:val="00BE7DF5"/>
    <w:rsid w:val="00BF0334"/>
    <w:rsid w:val="00BF18FA"/>
    <w:rsid w:val="00BF1B8D"/>
    <w:rsid w:val="00BF1C6A"/>
    <w:rsid w:val="00BF2909"/>
    <w:rsid w:val="00BF2AE8"/>
    <w:rsid w:val="00BF34CF"/>
    <w:rsid w:val="00BF54D1"/>
    <w:rsid w:val="00BF5BDD"/>
    <w:rsid w:val="00BF692F"/>
    <w:rsid w:val="00BF6C2C"/>
    <w:rsid w:val="00BF6CCA"/>
    <w:rsid w:val="00BF70AC"/>
    <w:rsid w:val="00BF7161"/>
    <w:rsid w:val="00BF764D"/>
    <w:rsid w:val="00BF7697"/>
    <w:rsid w:val="00BF7DC4"/>
    <w:rsid w:val="00C00CDF"/>
    <w:rsid w:val="00C00FED"/>
    <w:rsid w:val="00C01448"/>
    <w:rsid w:val="00C01D61"/>
    <w:rsid w:val="00C02106"/>
    <w:rsid w:val="00C02850"/>
    <w:rsid w:val="00C035B4"/>
    <w:rsid w:val="00C04D6D"/>
    <w:rsid w:val="00C04EE0"/>
    <w:rsid w:val="00C05E6B"/>
    <w:rsid w:val="00C06167"/>
    <w:rsid w:val="00C06283"/>
    <w:rsid w:val="00C06587"/>
    <w:rsid w:val="00C06C84"/>
    <w:rsid w:val="00C06FB0"/>
    <w:rsid w:val="00C07193"/>
    <w:rsid w:val="00C077A6"/>
    <w:rsid w:val="00C10054"/>
    <w:rsid w:val="00C10193"/>
    <w:rsid w:val="00C10CC7"/>
    <w:rsid w:val="00C10F78"/>
    <w:rsid w:val="00C1215A"/>
    <w:rsid w:val="00C121CD"/>
    <w:rsid w:val="00C12331"/>
    <w:rsid w:val="00C126A2"/>
    <w:rsid w:val="00C131FC"/>
    <w:rsid w:val="00C137B4"/>
    <w:rsid w:val="00C139C3"/>
    <w:rsid w:val="00C13E0F"/>
    <w:rsid w:val="00C143D2"/>
    <w:rsid w:val="00C144ED"/>
    <w:rsid w:val="00C149C5"/>
    <w:rsid w:val="00C14A8A"/>
    <w:rsid w:val="00C1528D"/>
    <w:rsid w:val="00C16101"/>
    <w:rsid w:val="00C16455"/>
    <w:rsid w:val="00C16713"/>
    <w:rsid w:val="00C16954"/>
    <w:rsid w:val="00C16E6E"/>
    <w:rsid w:val="00C17C2B"/>
    <w:rsid w:val="00C21340"/>
    <w:rsid w:val="00C215BE"/>
    <w:rsid w:val="00C215E3"/>
    <w:rsid w:val="00C219F0"/>
    <w:rsid w:val="00C22499"/>
    <w:rsid w:val="00C2328C"/>
    <w:rsid w:val="00C238CA"/>
    <w:rsid w:val="00C23D03"/>
    <w:rsid w:val="00C23DC8"/>
    <w:rsid w:val="00C25D11"/>
    <w:rsid w:val="00C26086"/>
    <w:rsid w:val="00C268B9"/>
    <w:rsid w:val="00C26F33"/>
    <w:rsid w:val="00C27AFB"/>
    <w:rsid w:val="00C30934"/>
    <w:rsid w:val="00C31C17"/>
    <w:rsid w:val="00C32828"/>
    <w:rsid w:val="00C32AC0"/>
    <w:rsid w:val="00C338B7"/>
    <w:rsid w:val="00C33B45"/>
    <w:rsid w:val="00C33B8A"/>
    <w:rsid w:val="00C34608"/>
    <w:rsid w:val="00C346A2"/>
    <w:rsid w:val="00C3599F"/>
    <w:rsid w:val="00C35CE6"/>
    <w:rsid w:val="00C36160"/>
    <w:rsid w:val="00C365F3"/>
    <w:rsid w:val="00C40E30"/>
    <w:rsid w:val="00C410D7"/>
    <w:rsid w:val="00C4219D"/>
    <w:rsid w:val="00C42282"/>
    <w:rsid w:val="00C42A58"/>
    <w:rsid w:val="00C42E9D"/>
    <w:rsid w:val="00C432DE"/>
    <w:rsid w:val="00C445E1"/>
    <w:rsid w:val="00C446E9"/>
    <w:rsid w:val="00C448B4"/>
    <w:rsid w:val="00C45725"/>
    <w:rsid w:val="00C45803"/>
    <w:rsid w:val="00C4658F"/>
    <w:rsid w:val="00C46991"/>
    <w:rsid w:val="00C46AEB"/>
    <w:rsid w:val="00C46C22"/>
    <w:rsid w:val="00C46ED9"/>
    <w:rsid w:val="00C4755C"/>
    <w:rsid w:val="00C47E8C"/>
    <w:rsid w:val="00C5112F"/>
    <w:rsid w:val="00C51992"/>
    <w:rsid w:val="00C51FEF"/>
    <w:rsid w:val="00C53559"/>
    <w:rsid w:val="00C540DE"/>
    <w:rsid w:val="00C55CF7"/>
    <w:rsid w:val="00C5627F"/>
    <w:rsid w:val="00C565D7"/>
    <w:rsid w:val="00C56965"/>
    <w:rsid w:val="00C56F31"/>
    <w:rsid w:val="00C5702F"/>
    <w:rsid w:val="00C570C2"/>
    <w:rsid w:val="00C573BA"/>
    <w:rsid w:val="00C57543"/>
    <w:rsid w:val="00C5784E"/>
    <w:rsid w:val="00C60374"/>
    <w:rsid w:val="00C608F5"/>
    <w:rsid w:val="00C61048"/>
    <w:rsid w:val="00C6135C"/>
    <w:rsid w:val="00C6259A"/>
    <w:rsid w:val="00C62E24"/>
    <w:rsid w:val="00C63654"/>
    <w:rsid w:val="00C6385A"/>
    <w:rsid w:val="00C63F1C"/>
    <w:rsid w:val="00C6489F"/>
    <w:rsid w:val="00C64DA9"/>
    <w:rsid w:val="00C655F0"/>
    <w:rsid w:val="00C65836"/>
    <w:rsid w:val="00C65DD5"/>
    <w:rsid w:val="00C66771"/>
    <w:rsid w:val="00C668FC"/>
    <w:rsid w:val="00C6703B"/>
    <w:rsid w:val="00C671D5"/>
    <w:rsid w:val="00C675E2"/>
    <w:rsid w:val="00C67B27"/>
    <w:rsid w:val="00C67D5C"/>
    <w:rsid w:val="00C67F07"/>
    <w:rsid w:val="00C704CF"/>
    <w:rsid w:val="00C7077D"/>
    <w:rsid w:val="00C70BBA"/>
    <w:rsid w:val="00C72ABE"/>
    <w:rsid w:val="00C72BB9"/>
    <w:rsid w:val="00C73479"/>
    <w:rsid w:val="00C74E73"/>
    <w:rsid w:val="00C7594B"/>
    <w:rsid w:val="00C76943"/>
    <w:rsid w:val="00C76FF3"/>
    <w:rsid w:val="00C77AB7"/>
    <w:rsid w:val="00C80381"/>
    <w:rsid w:val="00C80436"/>
    <w:rsid w:val="00C814CC"/>
    <w:rsid w:val="00C8155C"/>
    <w:rsid w:val="00C81A0F"/>
    <w:rsid w:val="00C81EB1"/>
    <w:rsid w:val="00C82F4C"/>
    <w:rsid w:val="00C831F3"/>
    <w:rsid w:val="00C837B4"/>
    <w:rsid w:val="00C83B6E"/>
    <w:rsid w:val="00C83DCD"/>
    <w:rsid w:val="00C84053"/>
    <w:rsid w:val="00C8454B"/>
    <w:rsid w:val="00C846BD"/>
    <w:rsid w:val="00C84D6B"/>
    <w:rsid w:val="00C85020"/>
    <w:rsid w:val="00C851E2"/>
    <w:rsid w:val="00C85902"/>
    <w:rsid w:val="00C85C33"/>
    <w:rsid w:val="00C85D28"/>
    <w:rsid w:val="00C86939"/>
    <w:rsid w:val="00C86DC8"/>
    <w:rsid w:val="00C8728D"/>
    <w:rsid w:val="00C876EE"/>
    <w:rsid w:val="00C87C52"/>
    <w:rsid w:val="00C9011A"/>
    <w:rsid w:val="00C917BA"/>
    <w:rsid w:val="00C91D05"/>
    <w:rsid w:val="00C91D27"/>
    <w:rsid w:val="00C91D49"/>
    <w:rsid w:val="00C92429"/>
    <w:rsid w:val="00C946AE"/>
    <w:rsid w:val="00C9495C"/>
    <w:rsid w:val="00C94B03"/>
    <w:rsid w:val="00C94DA2"/>
    <w:rsid w:val="00C94FB6"/>
    <w:rsid w:val="00C9531C"/>
    <w:rsid w:val="00C95759"/>
    <w:rsid w:val="00C96DEB"/>
    <w:rsid w:val="00C9713A"/>
    <w:rsid w:val="00CA2A6F"/>
    <w:rsid w:val="00CA3C9A"/>
    <w:rsid w:val="00CA460C"/>
    <w:rsid w:val="00CA4862"/>
    <w:rsid w:val="00CA5417"/>
    <w:rsid w:val="00CA55DB"/>
    <w:rsid w:val="00CA5B07"/>
    <w:rsid w:val="00CA5D3A"/>
    <w:rsid w:val="00CA5E7A"/>
    <w:rsid w:val="00CA71D3"/>
    <w:rsid w:val="00CA7652"/>
    <w:rsid w:val="00CA7AC6"/>
    <w:rsid w:val="00CB024D"/>
    <w:rsid w:val="00CB0870"/>
    <w:rsid w:val="00CB157C"/>
    <w:rsid w:val="00CB1810"/>
    <w:rsid w:val="00CB1C96"/>
    <w:rsid w:val="00CB21B2"/>
    <w:rsid w:val="00CB28AD"/>
    <w:rsid w:val="00CB2C95"/>
    <w:rsid w:val="00CB35BB"/>
    <w:rsid w:val="00CB4D26"/>
    <w:rsid w:val="00CB5387"/>
    <w:rsid w:val="00CB57FC"/>
    <w:rsid w:val="00CB5804"/>
    <w:rsid w:val="00CB586B"/>
    <w:rsid w:val="00CB5D78"/>
    <w:rsid w:val="00CB7728"/>
    <w:rsid w:val="00CB7C46"/>
    <w:rsid w:val="00CC0275"/>
    <w:rsid w:val="00CC0E07"/>
    <w:rsid w:val="00CC0F08"/>
    <w:rsid w:val="00CC16C3"/>
    <w:rsid w:val="00CC1742"/>
    <w:rsid w:val="00CC1760"/>
    <w:rsid w:val="00CC1851"/>
    <w:rsid w:val="00CC2A5C"/>
    <w:rsid w:val="00CC3318"/>
    <w:rsid w:val="00CC3531"/>
    <w:rsid w:val="00CC36EC"/>
    <w:rsid w:val="00CC3CE7"/>
    <w:rsid w:val="00CC45EB"/>
    <w:rsid w:val="00CC4B74"/>
    <w:rsid w:val="00CC4CD3"/>
    <w:rsid w:val="00CC5263"/>
    <w:rsid w:val="00CC5917"/>
    <w:rsid w:val="00CC5B8F"/>
    <w:rsid w:val="00CC6CBD"/>
    <w:rsid w:val="00CC70CC"/>
    <w:rsid w:val="00CC7D32"/>
    <w:rsid w:val="00CD05AF"/>
    <w:rsid w:val="00CD09DA"/>
    <w:rsid w:val="00CD12DF"/>
    <w:rsid w:val="00CD1BF6"/>
    <w:rsid w:val="00CD2C80"/>
    <w:rsid w:val="00CD4180"/>
    <w:rsid w:val="00CD4C55"/>
    <w:rsid w:val="00CD5354"/>
    <w:rsid w:val="00CD5377"/>
    <w:rsid w:val="00CD54C8"/>
    <w:rsid w:val="00CD5792"/>
    <w:rsid w:val="00CD5E18"/>
    <w:rsid w:val="00CD67C3"/>
    <w:rsid w:val="00CD7CFF"/>
    <w:rsid w:val="00CE0241"/>
    <w:rsid w:val="00CE06DA"/>
    <w:rsid w:val="00CE0B77"/>
    <w:rsid w:val="00CE0BB2"/>
    <w:rsid w:val="00CE10FD"/>
    <w:rsid w:val="00CE144D"/>
    <w:rsid w:val="00CE16C2"/>
    <w:rsid w:val="00CE21FE"/>
    <w:rsid w:val="00CE2228"/>
    <w:rsid w:val="00CE2BEE"/>
    <w:rsid w:val="00CE2C63"/>
    <w:rsid w:val="00CE454F"/>
    <w:rsid w:val="00CE6890"/>
    <w:rsid w:val="00CE76C0"/>
    <w:rsid w:val="00CE7E65"/>
    <w:rsid w:val="00CF0062"/>
    <w:rsid w:val="00CF0577"/>
    <w:rsid w:val="00CF0AA8"/>
    <w:rsid w:val="00CF0AF4"/>
    <w:rsid w:val="00CF0E61"/>
    <w:rsid w:val="00CF1DCE"/>
    <w:rsid w:val="00CF1EA6"/>
    <w:rsid w:val="00CF295A"/>
    <w:rsid w:val="00CF2A52"/>
    <w:rsid w:val="00CF34F2"/>
    <w:rsid w:val="00CF456A"/>
    <w:rsid w:val="00CF492E"/>
    <w:rsid w:val="00CF506C"/>
    <w:rsid w:val="00CF5A82"/>
    <w:rsid w:val="00CF5AC1"/>
    <w:rsid w:val="00CF5BDA"/>
    <w:rsid w:val="00CF60CA"/>
    <w:rsid w:val="00CF6253"/>
    <w:rsid w:val="00CF6449"/>
    <w:rsid w:val="00CF6993"/>
    <w:rsid w:val="00CF7439"/>
    <w:rsid w:val="00CF779F"/>
    <w:rsid w:val="00D0057E"/>
    <w:rsid w:val="00D00617"/>
    <w:rsid w:val="00D00BEB"/>
    <w:rsid w:val="00D012C9"/>
    <w:rsid w:val="00D0234A"/>
    <w:rsid w:val="00D02490"/>
    <w:rsid w:val="00D02D5A"/>
    <w:rsid w:val="00D03281"/>
    <w:rsid w:val="00D03BE1"/>
    <w:rsid w:val="00D04150"/>
    <w:rsid w:val="00D04639"/>
    <w:rsid w:val="00D04876"/>
    <w:rsid w:val="00D055E4"/>
    <w:rsid w:val="00D057B6"/>
    <w:rsid w:val="00D05BA1"/>
    <w:rsid w:val="00D05BC2"/>
    <w:rsid w:val="00D063DA"/>
    <w:rsid w:val="00D06E97"/>
    <w:rsid w:val="00D0741E"/>
    <w:rsid w:val="00D07FB5"/>
    <w:rsid w:val="00D109FB"/>
    <w:rsid w:val="00D11969"/>
    <w:rsid w:val="00D11D22"/>
    <w:rsid w:val="00D11D70"/>
    <w:rsid w:val="00D11EE9"/>
    <w:rsid w:val="00D12080"/>
    <w:rsid w:val="00D122E0"/>
    <w:rsid w:val="00D13682"/>
    <w:rsid w:val="00D13D09"/>
    <w:rsid w:val="00D1479F"/>
    <w:rsid w:val="00D15799"/>
    <w:rsid w:val="00D16619"/>
    <w:rsid w:val="00D166F2"/>
    <w:rsid w:val="00D17A7D"/>
    <w:rsid w:val="00D21B20"/>
    <w:rsid w:val="00D2202F"/>
    <w:rsid w:val="00D22208"/>
    <w:rsid w:val="00D2263D"/>
    <w:rsid w:val="00D22AC8"/>
    <w:rsid w:val="00D22D60"/>
    <w:rsid w:val="00D231CF"/>
    <w:rsid w:val="00D242E7"/>
    <w:rsid w:val="00D24947"/>
    <w:rsid w:val="00D25A98"/>
    <w:rsid w:val="00D25CF1"/>
    <w:rsid w:val="00D25D3B"/>
    <w:rsid w:val="00D26556"/>
    <w:rsid w:val="00D268F5"/>
    <w:rsid w:val="00D26A54"/>
    <w:rsid w:val="00D279C7"/>
    <w:rsid w:val="00D27AC0"/>
    <w:rsid w:val="00D27CC7"/>
    <w:rsid w:val="00D3173D"/>
    <w:rsid w:val="00D3185F"/>
    <w:rsid w:val="00D32880"/>
    <w:rsid w:val="00D330CC"/>
    <w:rsid w:val="00D34268"/>
    <w:rsid w:val="00D346E1"/>
    <w:rsid w:val="00D34728"/>
    <w:rsid w:val="00D34A9F"/>
    <w:rsid w:val="00D34AF2"/>
    <w:rsid w:val="00D35023"/>
    <w:rsid w:val="00D36F77"/>
    <w:rsid w:val="00D37A5E"/>
    <w:rsid w:val="00D37B0C"/>
    <w:rsid w:val="00D401F9"/>
    <w:rsid w:val="00D406FA"/>
    <w:rsid w:val="00D4081A"/>
    <w:rsid w:val="00D40ADA"/>
    <w:rsid w:val="00D40F1A"/>
    <w:rsid w:val="00D40F9E"/>
    <w:rsid w:val="00D416D4"/>
    <w:rsid w:val="00D43156"/>
    <w:rsid w:val="00D43CE2"/>
    <w:rsid w:val="00D443C4"/>
    <w:rsid w:val="00D44911"/>
    <w:rsid w:val="00D45506"/>
    <w:rsid w:val="00D45C4C"/>
    <w:rsid w:val="00D46F16"/>
    <w:rsid w:val="00D46FD6"/>
    <w:rsid w:val="00D4703C"/>
    <w:rsid w:val="00D472FA"/>
    <w:rsid w:val="00D476BF"/>
    <w:rsid w:val="00D4772B"/>
    <w:rsid w:val="00D477F2"/>
    <w:rsid w:val="00D47D73"/>
    <w:rsid w:val="00D50031"/>
    <w:rsid w:val="00D50098"/>
    <w:rsid w:val="00D50122"/>
    <w:rsid w:val="00D5149E"/>
    <w:rsid w:val="00D51BC3"/>
    <w:rsid w:val="00D52326"/>
    <w:rsid w:val="00D526C2"/>
    <w:rsid w:val="00D528C3"/>
    <w:rsid w:val="00D529E9"/>
    <w:rsid w:val="00D53061"/>
    <w:rsid w:val="00D5353C"/>
    <w:rsid w:val="00D53C4B"/>
    <w:rsid w:val="00D53ED4"/>
    <w:rsid w:val="00D553C1"/>
    <w:rsid w:val="00D5585F"/>
    <w:rsid w:val="00D558B1"/>
    <w:rsid w:val="00D567C8"/>
    <w:rsid w:val="00D56B19"/>
    <w:rsid w:val="00D57AFD"/>
    <w:rsid w:val="00D601A8"/>
    <w:rsid w:val="00D601DD"/>
    <w:rsid w:val="00D60286"/>
    <w:rsid w:val="00D60A43"/>
    <w:rsid w:val="00D62450"/>
    <w:rsid w:val="00D624C8"/>
    <w:rsid w:val="00D6270E"/>
    <w:rsid w:val="00D630A9"/>
    <w:rsid w:val="00D631BF"/>
    <w:rsid w:val="00D63556"/>
    <w:rsid w:val="00D63591"/>
    <w:rsid w:val="00D63783"/>
    <w:rsid w:val="00D63E8C"/>
    <w:rsid w:val="00D641AB"/>
    <w:rsid w:val="00D645A8"/>
    <w:rsid w:val="00D65569"/>
    <w:rsid w:val="00D65613"/>
    <w:rsid w:val="00D6760D"/>
    <w:rsid w:val="00D709DE"/>
    <w:rsid w:val="00D7114A"/>
    <w:rsid w:val="00D713C7"/>
    <w:rsid w:val="00D718E0"/>
    <w:rsid w:val="00D72562"/>
    <w:rsid w:val="00D7312E"/>
    <w:rsid w:val="00D7365C"/>
    <w:rsid w:val="00D7394F"/>
    <w:rsid w:val="00D73D7B"/>
    <w:rsid w:val="00D73ED0"/>
    <w:rsid w:val="00D7419D"/>
    <w:rsid w:val="00D74E14"/>
    <w:rsid w:val="00D74F87"/>
    <w:rsid w:val="00D75682"/>
    <w:rsid w:val="00D7582A"/>
    <w:rsid w:val="00D76C1E"/>
    <w:rsid w:val="00D7781B"/>
    <w:rsid w:val="00D77C58"/>
    <w:rsid w:val="00D81990"/>
    <w:rsid w:val="00D81D60"/>
    <w:rsid w:val="00D81EAA"/>
    <w:rsid w:val="00D82058"/>
    <w:rsid w:val="00D827CB"/>
    <w:rsid w:val="00D82988"/>
    <w:rsid w:val="00D83437"/>
    <w:rsid w:val="00D83BEE"/>
    <w:rsid w:val="00D83F32"/>
    <w:rsid w:val="00D85CBA"/>
    <w:rsid w:val="00D86012"/>
    <w:rsid w:val="00D86E0A"/>
    <w:rsid w:val="00D90115"/>
    <w:rsid w:val="00D9069E"/>
    <w:rsid w:val="00D90920"/>
    <w:rsid w:val="00D92981"/>
    <w:rsid w:val="00D929BE"/>
    <w:rsid w:val="00D931AA"/>
    <w:rsid w:val="00D9382F"/>
    <w:rsid w:val="00D93A37"/>
    <w:rsid w:val="00D93B72"/>
    <w:rsid w:val="00D94A99"/>
    <w:rsid w:val="00D95C07"/>
    <w:rsid w:val="00D95F1C"/>
    <w:rsid w:val="00D96A6F"/>
    <w:rsid w:val="00D975FF"/>
    <w:rsid w:val="00D97BDE"/>
    <w:rsid w:val="00DA000D"/>
    <w:rsid w:val="00DA0347"/>
    <w:rsid w:val="00DA1527"/>
    <w:rsid w:val="00DA16E9"/>
    <w:rsid w:val="00DA1DFF"/>
    <w:rsid w:val="00DA2A10"/>
    <w:rsid w:val="00DA2A2D"/>
    <w:rsid w:val="00DA2F9B"/>
    <w:rsid w:val="00DA3110"/>
    <w:rsid w:val="00DA41D5"/>
    <w:rsid w:val="00DA5143"/>
    <w:rsid w:val="00DA56C6"/>
    <w:rsid w:val="00DA583A"/>
    <w:rsid w:val="00DA5934"/>
    <w:rsid w:val="00DA631D"/>
    <w:rsid w:val="00DA6364"/>
    <w:rsid w:val="00DA65A6"/>
    <w:rsid w:val="00DA666B"/>
    <w:rsid w:val="00DA67C3"/>
    <w:rsid w:val="00DA6E7D"/>
    <w:rsid w:val="00DA70AF"/>
    <w:rsid w:val="00DA756B"/>
    <w:rsid w:val="00DA76A7"/>
    <w:rsid w:val="00DA77A6"/>
    <w:rsid w:val="00DA7A86"/>
    <w:rsid w:val="00DB01C8"/>
    <w:rsid w:val="00DB0600"/>
    <w:rsid w:val="00DB148D"/>
    <w:rsid w:val="00DB14D9"/>
    <w:rsid w:val="00DB2038"/>
    <w:rsid w:val="00DB23E7"/>
    <w:rsid w:val="00DB2616"/>
    <w:rsid w:val="00DB2AA6"/>
    <w:rsid w:val="00DB2E2E"/>
    <w:rsid w:val="00DB3F32"/>
    <w:rsid w:val="00DB570D"/>
    <w:rsid w:val="00DB5CFC"/>
    <w:rsid w:val="00DB5D41"/>
    <w:rsid w:val="00DB5EED"/>
    <w:rsid w:val="00DB692F"/>
    <w:rsid w:val="00DB7164"/>
    <w:rsid w:val="00DB7253"/>
    <w:rsid w:val="00DB7420"/>
    <w:rsid w:val="00DB77DD"/>
    <w:rsid w:val="00DB7A55"/>
    <w:rsid w:val="00DB7B02"/>
    <w:rsid w:val="00DC0052"/>
    <w:rsid w:val="00DC2BB0"/>
    <w:rsid w:val="00DC3059"/>
    <w:rsid w:val="00DC32E5"/>
    <w:rsid w:val="00DC373D"/>
    <w:rsid w:val="00DC40B1"/>
    <w:rsid w:val="00DC4B96"/>
    <w:rsid w:val="00DC4ED3"/>
    <w:rsid w:val="00DC5069"/>
    <w:rsid w:val="00DC526D"/>
    <w:rsid w:val="00DC58F8"/>
    <w:rsid w:val="00DD2A6F"/>
    <w:rsid w:val="00DD2ACE"/>
    <w:rsid w:val="00DD314D"/>
    <w:rsid w:val="00DD329D"/>
    <w:rsid w:val="00DD35DC"/>
    <w:rsid w:val="00DD3F29"/>
    <w:rsid w:val="00DD4436"/>
    <w:rsid w:val="00DD4628"/>
    <w:rsid w:val="00DD4AE3"/>
    <w:rsid w:val="00DD4B67"/>
    <w:rsid w:val="00DD4CB8"/>
    <w:rsid w:val="00DD4F70"/>
    <w:rsid w:val="00DD510F"/>
    <w:rsid w:val="00DD583D"/>
    <w:rsid w:val="00DD606E"/>
    <w:rsid w:val="00DD6AB6"/>
    <w:rsid w:val="00DD6C19"/>
    <w:rsid w:val="00DD74BF"/>
    <w:rsid w:val="00DD799F"/>
    <w:rsid w:val="00DE0533"/>
    <w:rsid w:val="00DE2E9E"/>
    <w:rsid w:val="00DE31A2"/>
    <w:rsid w:val="00DE3A22"/>
    <w:rsid w:val="00DE3F4B"/>
    <w:rsid w:val="00DE4364"/>
    <w:rsid w:val="00DE469E"/>
    <w:rsid w:val="00DE4A2A"/>
    <w:rsid w:val="00DE4A8B"/>
    <w:rsid w:val="00DE5BA2"/>
    <w:rsid w:val="00DE5FCF"/>
    <w:rsid w:val="00DE62AA"/>
    <w:rsid w:val="00DE633C"/>
    <w:rsid w:val="00DE67D8"/>
    <w:rsid w:val="00DE6CF9"/>
    <w:rsid w:val="00DE78A5"/>
    <w:rsid w:val="00DE7A22"/>
    <w:rsid w:val="00DE7D7E"/>
    <w:rsid w:val="00DE7ED8"/>
    <w:rsid w:val="00DF008D"/>
    <w:rsid w:val="00DF0197"/>
    <w:rsid w:val="00DF070D"/>
    <w:rsid w:val="00DF13F4"/>
    <w:rsid w:val="00DF1A30"/>
    <w:rsid w:val="00DF224B"/>
    <w:rsid w:val="00DF2EC1"/>
    <w:rsid w:val="00DF3306"/>
    <w:rsid w:val="00DF3544"/>
    <w:rsid w:val="00DF440F"/>
    <w:rsid w:val="00DF462C"/>
    <w:rsid w:val="00DF50E5"/>
    <w:rsid w:val="00DF5D81"/>
    <w:rsid w:val="00DF5E09"/>
    <w:rsid w:val="00DF5EE2"/>
    <w:rsid w:val="00DF622E"/>
    <w:rsid w:val="00DF628C"/>
    <w:rsid w:val="00DF657E"/>
    <w:rsid w:val="00DF66D7"/>
    <w:rsid w:val="00DF6F52"/>
    <w:rsid w:val="00DF7620"/>
    <w:rsid w:val="00DF7CF1"/>
    <w:rsid w:val="00DF7D9B"/>
    <w:rsid w:val="00E0010D"/>
    <w:rsid w:val="00E011C2"/>
    <w:rsid w:val="00E0144C"/>
    <w:rsid w:val="00E01888"/>
    <w:rsid w:val="00E01D7E"/>
    <w:rsid w:val="00E0256D"/>
    <w:rsid w:val="00E0312E"/>
    <w:rsid w:val="00E03EA5"/>
    <w:rsid w:val="00E043A5"/>
    <w:rsid w:val="00E04DEB"/>
    <w:rsid w:val="00E05474"/>
    <w:rsid w:val="00E05F3D"/>
    <w:rsid w:val="00E061F1"/>
    <w:rsid w:val="00E06A87"/>
    <w:rsid w:val="00E072C0"/>
    <w:rsid w:val="00E07588"/>
    <w:rsid w:val="00E07AA5"/>
    <w:rsid w:val="00E11B89"/>
    <w:rsid w:val="00E11C87"/>
    <w:rsid w:val="00E125C8"/>
    <w:rsid w:val="00E126C3"/>
    <w:rsid w:val="00E12929"/>
    <w:rsid w:val="00E12BD4"/>
    <w:rsid w:val="00E13FE6"/>
    <w:rsid w:val="00E14144"/>
    <w:rsid w:val="00E143DF"/>
    <w:rsid w:val="00E14481"/>
    <w:rsid w:val="00E15013"/>
    <w:rsid w:val="00E151A3"/>
    <w:rsid w:val="00E15322"/>
    <w:rsid w:val="00E15E94"/>
    <w:rsid w:val="00E16BDD"/>
    <w:rsid w:val="00E17511"/>
    <w:rsid w:val="00E2020F"/>
    <w:rsid w:val="00E21194"/>
    <w:rsid w:val="00E21E35"/>
    <w:rsid w:val="00E22451"/>
    <w:rsid w:val="00E23FA3"/>
    <w:rsid w:val="00E249C8"/>
    <w:rsid w:val="00E250F8"/>
    <w:rsid w:val="00E25168"/>
    <w:rsid w:val="00E257BA"/>
    <w:rsid w:val="00E26692"/>
    <w:rsid w:val="00E268A1"/>
    <w:rsid w:val="00E26D99"/>
    <w:rsid w:val="00E278CA"/>
    <w:rsid w:val="00E27F71"/>
    <w:rsid w:val="00E301F9"/>
    <w:rsid w:val="00E30C11"/>
    <w:rsid w:val="00E31166"/>
    <w:rsid w:val="00E311F3"/>
    <w:rsid w:val="00E31230"/>
    <w:rsid w:val="00E316A4"/>
    <w:rsid w:val="00E31B0A"/>
    <w:rsid w:val="00E320D0"/>
    <w:rsid w:val="00E325D7"/>
    <w:rsid w:val="00E32728"/>
    <w:rsid w:val="00E32750"/>
    <w:rsid w:val="00E3293B"/>
    <w:rsid w:val="00E32A56"/>
    <w:rsid w:val="00E32EBF"/>
    <w:rsid w:val="00E32FFA"/>
    <w:rsid w:val="00E33923"/>
    <w:rsid w:val="00E33CC1"/>
    <w:rsid w:val="00E34497"/>
    <w:rsid w:val="00E3497A"/>
    <w:rsid w:val="00E34F8E"/>
    <w:rsid w:val="00E36322"/>
    <w:rsid w:val="00E372F0"/>
    <w:rsid w:val="00E377AA"/>
    <w:rsid w:val="00E37961"/>
    <w:rsid w:val="00E37F3E"/>
    <w:rsid w:val="00E40104"/>
    <w:rsid w:val="00E4050A"/>
    <w:rsid w:val="00E40B9E"/>
    <w:rsid w:val="00E41D0A"/>
    <w:rsid w:val="00E42196"/>
    <w:rsid w:val="00E428F2"/>
    <w:rsid w:val="00E434D3"/>
    <w:rsid w:val="00E435A9"/>
    <w:rsid w:val="00E44554"/>
    <w:rsid w:val="00E44857"/>
    <w:rsid w:val="00E4502B"/>
    <w:rsid w:val="00E45473"/>
    <w:rsid w:val="00E45C46"/>
    <w:rsid w:val="00E45ED3"/>
    <w:rsid w:val="00E46D48"/>
    <w:rsid w:val="00E46DA5"/>
    <w:rsid w:val="00E47FBA"/>
    <w:rsid w:val="00E50084"/>
    <w:rsid w:val="00E50A30"/>
    <w:rsid w:val="00E50C50"/>
    <w:rsid w:val="00E50EF2"/>
    <w:rsid w:val="00E51313"/>
    <w:rsid w:val="00E51B21"/>
    <w:rsid w:val="00E51EBC"/>
    <w:rsid w:val="00E51F52"/>
    <w:rsid w:val="00E522FB"/>
    <w:rsid w:val="00E526BC"/>
    <w:rsid w:val="00E53210"/>
    <w:rsid w:val="00E54127"/>
    <w:rsid w:val="00E5415B"/>
    <w:rsid w:val="00E551D5"/>
    <w:rsid w:val="00E55296"/>
    <w:rsid w:val="00E55D89"/>
    <w:rsid w:val="00E56347"/>
    <w:rsid w:val="00E56ADC"/>
    <w:rsid w:val="00E57278"/>
    <w:rsid w:val="00E61193"/>
    <w:rsid w:val="00E61BA2"/>
    <w:rsid w:val="00E62010"/>
    <w:rsid w:val="00E62E31"/>
    <w:rsid w:val="00E62E59"/>
    <w:rsid w:val="00E630F4"/>
    <w:rsid w:val="00E631A4"/>
    <w:rsid w:val="00E636C9"/>
    <w:rsid w:val="00E64FB8"/>
    <w:rsid w:val="00E654D8"/>
    <w:rsid w:val="00E65BD4"/>
    <w:rsid w:val="00E669B4"/>
    <w:rsid w:val="00E70446"/>
    <w:rsid w:val="00E710D0"/>
    <w:rsid w:val="00E71165"/>
    <w:rsid w:val="00E7116E"/>
    <w:rsid w:val="00E71515"/>
    <w:rsid w:val="00E72083"/>
    <w:rsid w:val="00E723D9"/>
    <w:rsid w:val="00E72880"/>
    <w:rsid w:val="00E72C9B"/>
    <w:rsid w:val="00E743E1"/>
    <w:rsid w:val="00E75088"/>
    <w:rsid w:val="00E755FF"/>
    <w:rsid w:val="00E76312"/>
    <w:rsid w:val="00E775A8"/>
    <w:rsid w:val="00E77E9D"/>
    <w:rsid w:val="00E801DB"/>
    <w:rsid w:val="00E80427"/>
    <w:rsid w:val="00E8056E"/>
    <w:rsid w:val="00E812FB"/>
    <w:rsid w:val="00E81598"/>
    <w:rsid w:val="00E81773"/>
    <w:rsid w:val="00E82590"/>
    <w:rsid w:val="00E825C7"/>
    <w:rsid w:val="00E826E7"/>
    <w:rsid w:val="00E8291A"/>
    <w:rsid w:val="00E82CA4"/>
    <w:rsid w:val="00E82CD4"/>
    <w:rsid w:val="00E836AF"/>
    <w:rsid w:val="00E8399F"/>
    <w:rsid w:val="00E8488B"/>
    <w:rsid w:val="00E859AF"/>
    <w:rsid w:val="00E86257"/>
    <w:rsid w:val="00E87921"/>
    <w:rsid w:val="00E90738"/>
    <w:rsid w:val="00E90E44"/>
    <w:rsid w:val="00E9189A"/>
    <w:rsid w:val="00E9347D"/>
    <w:rsid w:val="00E94DF3"/>
    <w:rsid w:val="00E9561C"/>
    <w:rsid w:val="00E95A4E"/>
    <w:rsid w:val="00E95EB3"/>
    <w:rsid w:val="00E97189"/>
    <w:rsid w:val="00EA02A1"/>
    <w:rsid w:val="00EA02AE"/>
    <w:rsid w:val="00EA10C4"/>
    <w:rsid w:val="00EA151A"/>
    <w:rsid w:val="00EA19EA"/>
    <w:rsid w:val="00EA3C16"/>
    <w:rsid w:val="00EA4E8A"/>
    <w:rsid w:val="00EA4FFD"/>
    <w:rsid w:val="00EA6971"/>
    <w:rsid w:val="00EA6EAA"/>
    <w:rsid w:val="00EA794A"/>
    <w:rsid w:val="00EA7FBB"/>
    <w:rsid w:val="00EB0128"/>
    <w:rsid w:val="00EB05AB"/>
    <w:rsid w:val="00EB06D3"/>
    <w:rsid w:val="00EB086C"/>
    <w:rsid w:val="00EB18AB"/>
    <w:rsid w:val="00EB386B"/>
    <w:rsid w:val="00EB3A2D"/>
    <w:rsid w:val="00EB3E57"/>
    <w:rsid w:val="00EB4858"/>
    <w:rsid w:val="00EB5D1C"/>
    <w:rsid w:val="00EB6C34"/>
    <w:rsid w:val="00EC0ADB"/>
    <w:rsid w:val="00EC108C"/>
    <w:rsid w:val="00EC2452"/>
    <w:rsid w:val="00EC24F8"/>
    <w:rsid w:val="00EC2546"/>
    <w:rsid w:val="00EC300D"/>
    <w:rsid w:val="00EC3212"/>
    <w:rsid w:val="00EC34F3"/>
    <w:rsid w:val="00EC3B59"/>
    <w:rsid w:val="00EC4381"/>
    <w:rsid w:val="00EC43CE"/>
    <w:rsid w:val="00EC5769"/>
    <w:rsid w:val="00EC601B"/>
    <w:rsid w:val="00EC6FED"/>
    <w:rsid w:val="00EC7040"/>
    <w:rsid w:val="00EC7420"/>
    <w:rsid w:val="00ED241C"/>
    <w:rsid w:val="00ED2CE4"/>
    <w:rsid w:val="00ED2D3C"/>
    <w:rsid w:val="00ED3830"/>
    <w:rsid w:val="00ED3A49"/>
    <w:rsid w:val="00ED3CA6"/>
    <w:rsid w:val="00ED4A9F"/>
    <w:rsid w:val="00ED675D"/>
    <w:rsid w:val="00ED6C83"/>
    <w:rsid w:val="00ED7814"/>
    <w:rsid w:val="00EE08C2"/>
    <w:rsid w:val="00EE0B6A"/>
    <w:rsid w:val="00EE0C9E"/>
    <w:rsid w:val="00EE1C1F"/>
    <w:rsid w:val="00EE2A66"/>
    <w:rsid w:val="00EE2F57"/>
    <w:rsid w:val="00EE4396"/>
    <w:rsid w:val="00EE4598"/>
    <w:rsid w:val="00EE49DB"/>
    <w:rsid w:val="00EE5D96"/>
    <w:rsid w:val="00EE5F5B"/>
    <w:rsid w:val="00EE796C"/>
    <w:rsid w:val="00EE7C25"/>
    <w:rsid w:val="00EF0014"/>
    <w:rsid w:val="00EF06A4"/>
    <w:rsid w:val="00EF09EA"/>
    <w:rsid w:val="00EF0E89"/>
    <w:rsid w:val="00EF171F"/>
    <w:rsid w:val="00EF275A"/>
    <w:rsid w:val="00EF2EFF"/>
    <w:rsid w:val="00EF3291"/>
    <w:rsid w:val="00EF3D02"/>
    <w:rsid w:val="00EF3E18"/>
    <w:rsid w:val="00EF4D5A"/>
    <w:rsid w:val="00EF4E38"/>
    <w:rsid w:val="00EF4F13"/>
    <w:rsid w:val="00EF4FEA"/>
    <w:rsid w:val="00EF5262"/>
    <w:rsid w:val="00EF5998"/>
    <w:rsid w:val="00EF5B30"/>
    <w:rsid w:val="00EF6992"/>
    <w:rsid w:val="00EF708B"/>
    <w:rsid w:val="00F00CE2"/>
    <w:rsid w:val="00F012BA"/>
    <w:rsid w:val="00F018DB"/>
    <w:rsid w:val="00F023DC"/>
    <w:rsid w:val="00F03530"/>
    <w:rsid w:val="00F04462"/>
    <w:rsid w:val="00F04BA5"/>
    <w:rsid w:val="00F05061"/>
    <w:rsid w:val="00F0510C"/>
    <w:rsid w:val="00F05C95"/>
    <w:rsid w:val="00F05CFC"/>
    <w:rsid w:val="00F063BB"/>
    <w:rsid w:val="00F0699D"/>
    <w:rsid w:val="00F07D9A"/>
    <w:rsid w:val="00F07FBD"/>
    <w:rsid w:val="00F1071F"/>
    <w:rsid w:val="00F11740"/>
    <w:rsid w:val="00F12232"/>
    <w:rsid w:val="00F12C0A"/>
    <w:rsid w:val="00F136F1"/>
    <w:rsid w:val="00F136FC"/>
    <w:rsid w:val="00F1389F"/>
    <w:rsid w:val="00F13E59"/>
    <w:rsid w:val="00F147C9"/>
    <w:rsid w:val="00F152FA"/>
    <w:rsid w:val="00F15CA9"/>
    <w:rsid w:val="00F15CC7"/>
    <w:rsid w:val="00F15F1D"/>
    <w:rsid w:val="00F1637D"/>
    <w:rsid w:val="00F16B3A"/>
    <w:rsid w:val="00F16F29"/>
    <w:rsid w:val="00F16F78"/>
    <w:rsid w:val="00F1703A"/>
    <w:rsid w:val="00F17FD1"/>
    <w:rsid w:val="00F208F9"/>
    <w:rsid w:val="00F21E1B"/>
    <w:rsid w:val="00F2312B"/>
    <w:rsid w:val="00F238D0"/>
    <w:rsid w:val="00F24977"/>
    <w:rsid w:val="00F266D5"/>
    <w:rsid w:val="00F27288"/>
    <w:rsid w:val="00F272B8"/>
    <w:rsid w:val="00F279AC"/>
    <w:rsid w:val="00F27A58"/>
    <w:rsid w:val="00F27FD1"/>
    <w:rsid w:val="00F30105"/>
    <w:rsid w:val="00F304D4"/>
    <w:rsid w:val="00F30528"/>
    <w:rsid w:val="00F305CE"/>
    <w:rsid w:val="00F30C55"/>
    <w:rsid w:val="00F30FA4"/>
    <w:rsid w:val="00F327FB"/>
    <w:rsid w:val="00F334ED"/>
    <w:rsid w:val="00F340EF"/>
    <w:rsid w:val="00F34562"/>
    <w:rsid w:val="00F34A18"/>
    <w:rsid w:val="00F350A4"/>
    <w:rsid w:val="00F350EC"/>
    <w:rsid w:val="00F355D3"/>
    <w:rsid w:val="00F3595B"/>
    <w:rsid w:val="00F35E01"/>
    <w:rsid w:val="00F36235"/>
    <w:rsid w:val="00F374CC"/>
    <w:rsid w:val="00F3778C"/>
    <w:rsid w:val="00F37CCC"/>
    <w:rsid w:val="00F403A6"/>
    <w:rsid w:val="00F41616"/>
    <w:rsid w:val="00F422D8"/>
    <w:rsid w:val="00F4260A"/>
    <w:rsid w:val="00F42BBA"/>
    <w:rsid w:val="00F43543"/>
    <w:rsid w:val="00F43835"/>
    <w:rsid w:val="00F43C50"/>
    <w:rsid w:val="00F440EA"/>
    <w:rsid w:val="00F45B2D"/>
    <w:rsid w:val="00F467CE"/>
    <w:rsid w:val="00F519C8"/>
    <w:rsid w:val="00F52BCE"/>
    <w:rsid w:val="00F5331A"/>
    <w:rsid w:val="00F53724"/>
    <w:rsid w:val="00F53B74"/>
    <w:rsid w:val="00F53E67"/>
    <w:rsid w:val="00F56378"/>
    <w:rsid w:val="00F56759"/>
    <w:rsid w:val="00F5675D"/>
    <w:rsid w:val="00F56783"/>
    <w:rsid w:val="00F56CA8"/>
    <w:rsid w:val="00F5778E"/>
    <w:rsid w:val="00F60179"/>
    <w:rsid w:val="00F60249"/>
    <w:rsid w:val="00F606CC"/>
    <w:rsid w:val="00F617D8"/>
    <w:rsid w:val="00F61BF7"/>
    <w:rsid w:val="00F61D0D"/>
    <w:rsid w:val="00F6226C"/>
    <w:rsid w:val="00F6248F"/>
    <w:rsid w:val="00F6295F"/>
    <w:rsid w:val="00F62E25"/>
    <w:rsid w:val="00F63043"/>
    <w:rsid w:val="00F6349D"/>
    <w:rsid w:val="00F63AA0"/>
    <w:rsid w:val="00F64853"/>
    <w:rsid w:val="00F64B7D"/>
    <w:rsid w:val="00F651A7"/>
    <w:rsid w:val="00F65335"/>
    <w:rsid w:val="00F65D9A"/>
    <w:rsid w:val="00F66E61"/>
    <w:rsid w:val="00F675C8"/>
    <w:rsid w:val="00F67985"/>
    <w:rsid w:val="00F70195"/>
    <w:rsid w:val="00F7081B"/>
    <w:rsid w:val="00F712DC"/>
    <w:rsid w:val="00F7185F"/>
    <w:rsid w:val="00F721CA"/>
    <w:rsid w:val="00F7286B"/>
    <w:rsid w:val="00F72DFA"/>
    <w:rsid w:val="00F738A9"/>
    <w:rsid w:val="00F73A1C"/>
    <w:rsid w:val="00F73DD6"/>
    <w:rsid w:val="00F744A3"/>
    <w:rsid w:val="00F74A22"/>
    <w:rsid w:val="00F751A2"/>
    <w:rsid w:val="00F75266"/>
    <w:rsid w:val="00F75FE6"/>
    <w:rsid w:val="00F763AD"/>
    <w:rsid w:val="00F77849"/>
    <w:rsid w:val="00F779B2"/>
    <w:rsid w:val="00F77DA5"/>
    <w:rsid w:val="00F8013D"/>
    <w:rsid w:val="00F81215"/>
    <w:rsid w:val="00F833E2"/>
    <w:rsid w:val="00F8350F"/>
    <w:rsid w:val="00F83B4F"/>
    <w:rsid w:val="00F845A8"/>
    <w:rsid w:val="00F852DD"/>
    <w:rsid w:val="00F85BBB"/>
    <w:rsid w:val="00F85D06"/>
    <w:rsid w:val="00F867F0"/>
    <w:rsid w:val="00F87834"/>
    <w:rsid w:val="00F9008F"/>
    <w:rsid w:val="00F90D66"/>
    <w:rsid w:val="00F90FB9"/>
    <w:rsid w:val="00F91241"/>
    <w:rsid w:val="00F915B4"/>
    <w:rsid w:val="00F92D11"/>
    <w:rsid w:val="00F936C6"/>
    <w:rsid w:val="00F9393B"/>
    <w:rsid w:val="00F93D44"/>
    <w:rsid w:val="00F946D2"/>
    <w:rsid w:val="00F949BA"/>
    <w:rsid w:val="00F94B66"/>
    <w:rsid w:val="00F9539F"/>
    <w:rsid w:val="00F95A95"/>
    <w:rsid w:val="00F95D60"/>
    <w:rsid w:val="00F965C7"/>
    <w:rsid w:val="00F96951"/>
    <w:rsid w:val="00F96FE1"/>
    <w:rsid w:val="00FA0226"/>
    <w:rsid w:val="00FA12C2"/>
    <w:rsid w:val="00FA1C58"/>
    <w:rsid w:val="00FA2E8B"/>
    <w:rsid w:val="00FA3190"/>
    <w:rsid w:val="00FA343A"/>
    <w:rsid w:val="00FA34FF"/>
    <w:rsid w:val="00FA38E2"/>
    <w:rsid w:val="00FA3AF9"/>
    <w:rsid w:val="00FA3EC7"/>
    <w:rsid w:val="00FA4C39"/>
    <w:rsid w:val="00FA58FA"/>
    <w:rsid w:val="00FA5947"/>
    <w:rsid w:val="00FA59F1"/>
    <w:rsid w:val="00FA5BAB"/>
    <w:rsid w:val="00FA5D7E"/>
    <w:rsid w:val="00FA6CB9"/>
    <w:rsid w:val="00FA72B2"/>
    <w:rsid w:val="00FA754F"/>
    <w:rsid w:val="00FA7BA9"/>
    <w:rsid w:val="00FB021F"/>
    <w:rsid w:val="00FB063F"/>
    <w:rsid w:val="00FB0AFD"/>
    <w:rsid w:val="00FB0BCB"/>
    <w:rsid w:val="00FB0C2B"/>
    <w:rsid w:val="00FB0EFA"/>
    <w:rsid w:val="00FB1B59"/>
    <w:rsid w:val="00FB2977"/>
    <w:rsid w:val="00FB3321"/>
    <w:rsid w:val="00FB4ACE"/>
    <w:rsid w:val="00FB5C9D"/>
    <w:rsid w:val="00FB5EE0"/>
    <w:rsid w:val="00FC06C8"/>
    <w:rsid w:val="00FC1337"/>
    <w:rsid w:val="00FC1C9A"/>
    <w:rsid w:val="00FC2298"/>
    <w:rsid w:val="00FC241A"/>
    <w:rsid w:val="00FC279C"/>
    <w:rsid w:val="00FC27E6"/>
    <w:rsid w:val="00FC28B2"/>
    <w:rsid w:val="00FC45EB"/>
    <w:rsid w:val="00FC5296"/>
    <w:rsid w:val="00FC5F79"/>
    <w:rsid w:val="00FC60E1"/>
    <w:rsid w:val="00FC6AA8"/>
    <w:rsid w:val="00FC7C1B"/>
    <w:rsid w:val="00FD061C"/>
    <w:rsid w:val="00FD0828"/>
    <w:rsid w:val="00FD0B0C"/>
    <w:rsid w:val="00FD0DE5"/>
    <w:rsid w:val="00FD1BE7"/>
    <w:rsid w:val="00FD1F77"/>
    <w:rsid w:val="00FD20AB"/>
    <w:rsid w:val="00FD2129"/>
    <w:rsid w:val="00FD222E"/>
    <w:rsid w:val="00FD2856"/>
    <w:rsid w:val="00FD2A57"/>
    <w:rsid w:val="00FD3107"/>
    <w:rsid w:val="00FD3263"/>
    <w:rsid w:val="00FD3834"/>
    <w:rsid w:val="00FD3BC1"/>
    <w:rsid w:val="00FD4C66"/>
    <w:rsid w:val="00FD4D91"/>
    <w:rsid w:val="00FD5065"/>
    <w:rsid w:val="00FD545A"/>
    <w:rsid w:val="00FD59DD"/>
    <w:rsid w:val="00FD5AB3"/>
    <w:rsid w:val="00FD73CF"/>
    <w:rsid w:val="00FE0D01"/>
    <w:rsid w:val="00FE0E62"/>
    <w:rsid w:val="00FE1A1C"/>
    <w:rsid w:val="00FE300E"/>
    <w:rsid w:val="00FE4182"/>
    <w:rsid w:val="00FE45FA"/>
    <w:rsid w:val="00FE4A6F"/>
    <w:rsid w:val="00FE6331"/>
    <w:rsid w:val="00FE6F5D"/>
    <w:rsid w:val="00FE720A"/>
    <w:rsid w:val="00FE7FF8"/>
    <w:rsid w:val="00FF1461"/>
    <w:rsid w:val="00FF1574"/>
    <w:rsid w:val="00FF284D"/>
    <w:rsid w:val="00FF2AC4"/>
    <w:rsid w:val="00FF2E5E"/>
    <w:rsid w:val="00FF3211"/>
    <w:rsid w:val="00FF3AA6"/>
    <w:rsid w:val="00FF420F"/>
    <w:rsid w:val="00FF432B"/>
    <w:rsid w:val="00FF4393"/>
    <w:rsid w:val="00FF498C"/>
    <w:rsid w:val="00FF4C82"/>
    <w:rsid w:val="00FF5AF9"/>
    <w:rsid w:val="00FF6589"/>
    <w:rsid w:val="00FF674D"/>
    <w:rsid w:val="00FF6EDB"/>
    <w:rsid w:val="00FF72B2"/>
    <w:rsid w:val="00FF7737"/>
    <w:rsid w:val="00FF7A55"/>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9AF84"/>
  <w15:docId w15:val="{378531F8-47DF-479E-BF32-2E03F90B4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155"/>
  </w:style>
  <w:style w:type="paragraph" w:styleId="Heading1">
    <w:name w:val="heading 1"/>
    <w:basedOn w:val="Normal"/>
    <w:next w:val="Normal"/>
    <w:link w:val="Heading1Char"/>
    <w:uiPriority w:val="99"/>
    <w:qFormat/>
    <w:rsid w:val="000107FB"/>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FD20AB"/>
    <w:pPr>
      <w:keepNext/>
      <w:spacing w:before="240" w:after="60" w:line="276" w:lineRule="auto"/>
      <w:jc w:val="left"/>
      <w:outlineLvl w:val="1"/>
    </w:pPr>
    <w:rPr>
      <w:rFonts w:ascii="Arial" w:eastAsia="Calibri" w:hAnsi="Arial" w:cs="Arial"/>
      <w:b/>
      <w:bCs/>
      <w:i/>
      <w:iCs/>
      <w:sz w:val="28"/>
      <w:szCs w:val="28"/>
    </w:rPr>
  </w:style>
  <w:style w:type="paragraph" w:styleId="Heading3">
    <w:name w:val="heading 3"/>
    <w:basedOn w:val="Normal"/>
    <w:next w:val="Normal"/>
    <w:link w:val="Heading3Char"/>
    <w:uiPriority w:val="9"/>
    <w:unhideWhenUsed/>
    <w:qFormat/>
    <w:rsid w:val="00961B0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A72F6F"/>
    <w:pPr>
      <w:keepNext/>
      <w:spacing w:before="240" w:after="60" w:line="240" w:lineRule="auto"/>
      <w:jc w:val="left"/>
      <w:outlineLvl w:val="3"/>
    </w:pPr>
    <w:rPr>
      <w:rFonts w:ascii="Times New Roman" w:eastAsia="Times New Roman" w:hAnsi="Times New Roman" w:cs="Mangal"/>
      <w:b/>
      <w:bCs/>
      <w:sz w:val="28"/>
      <w:szCs w:val="28"/>
    </w:rPr>
  </w:style>
  <w:style w:type="paragraph" w:styleId="Heading5">
    <w:name w:val="heading 5"/>
    <w:basedOn w:val="Normal"/>
    <w:next w:val="Normal"/>
    <w:link w:val="Heading5Char"/>
    <w:unhideWhenUsed/>
    <w:qFormat/>
    <w:rsid w:val="00BA3AE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8D0637"/>
    <w:pPr>
      <w:spacing w:before="240" w:after="60" w:line="240" w:lineRule="auto"/>
      <w:jc w:val="left"/>
      <w:outlineLvl w:val="5"/>
    </w:pPr>
    <w:rPr>
      <w:rFonts w:ascii="Times New Roman" w:eastAsia="Times New Roman" w:hAnsi="Times New Roman" w:cs="Times New Roman"/>
      <w:b/>
      <w:bCs/>
    </w:rPr>
  </w:style>
  <w:style w:type="paragraph" w:styleId="Heading9">
    <w:name w:val="heading 9"/>
    <w:basedOn w:val="Normal"/>
    <w:next w:val="Normal"/>
    <w:link w:val="Heading9Char"/>
    <w:uiPriority w:val="9"/>
    <w:unhideWhenUsed/>
    <w:qFormat/>
    <w:rsid w:val="00D93A3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DAB"/>
    <w:pPr>
      <w:tabs>
        <w:tab w:val="center" w:pos="4680"/>
        <w:tab w:val="right" w:pos="9360"/>
      </w:tabs>
      <w:spacing w:line="240" w:lineRule="auto"/>
    </w:pPr>
  </w:style>
  <w:style w:type="character" w:customStyle="1" w:styleId="HeaderChar">
    <w:name w:val="Header Char"/>
    <w:basedOn w:val="DefaultParagraphFont"/>
    <w:link w:val="Header"/>
    <w:uiPriority w:val="99"/>
    <w:rsid w:val="00132DAB"/>
  </w:style>
  <w:style w:type="paragraph" w:styleId="Footer">
    <w:name w:val="footer"/>
    <w:basedOn w:val="Normal"/>
    <w:link w:val="FooterChar"/>
    <w:uiPriority w:val="99"/>
    <w:unhideWhenUsed/>
    <w:rsid w:val="00132DAB"/>
    <w:pPr>
      <w:tabs>
        <w:tab w:val="center" w:pos="4680"/>
        <w:tab w:val="right" w:pos="9360"/>
      </w:tabs>
      <w:spacing w:line="240" w:lineRule="auto"/>
    </w:pPr>
  </w:style>
  <w:style w:type="character" w:customStyle="1" w:styleId="FooterChar">
    <w:name w:val="Footer Char"/>
    <w:basedOn w:val="DefaultParagraphFont"/>
    <w:link w:val="Footer"/>
    <w:uiPriority w:val="99"/>
    <w:rsid w:val="00132DAB"/>
  </w:style>
  <w:style w:type="paragraph" w:styleId="BalloonText">
    <w:name w:val="Balloon Text"/>
    <w:basedOn w:val="Normal"/>
    <w:link w:val="BalloonTextChar"/>
    <w:uiPriority w:val="99"/>
    <w:unhideWhenUsed/>
    <w:rsid w:val="00B0141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01415"/>
    <w:rPr>
      <w:rFonts w:ascii="Tahoma" w:hAnsi="Tahoma" w:cs="Tahoma"/>
      <w:sz w:val="16"/>
      <w:szCs w:val="16"/>
    </w:rPr>
  </w:style>
  <w:style w:type="table" w:styleId="TableGrid">
    <w:name w:val="Table Grid"/>
    <w:basedOn w:val="TableNormal"/>
    <w:uiPriority w:val="39"/>
    <w:rsid w:val="00BC259A"/>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C259A"/>
    <w:pPr>
      <w:spacing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rsid w:val="00971FF5"/>
    <w:rPr>
      <w:color w:val="0000FF"/>
      <w:u w:val="single"/>
    </w:rPr>
  </w:style>
  <w:style w:type="paragraph" w:styleId="NormalWeb">
    <w:name w:val="Normal (Web)"/>
    <w:basedOn w:val="Normal"/>
    <w:uiPriority w:val="99"/>
    <w:rsid w:val="003573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newroman">
    <w:name w:val="times new roman"/>
    <w:basedOn w:val="Normal"/>
    <w:link w:val="timesnewromanChar"/>
    <w:rsid w:val="00EF171F"/>
    <w:pPr>
      <w:spacing w:line="480" w:lineRule="auto"/>
    </w:pPr>
    <w:rPr>
      <w:rFonts w:ascii="Times New Roman" w:eastAsia="Times New Roman" w:hAnsi="Times New Roman" w:cs="Times New Roman"/>
      <w:lang w:val="en-IN" w:eastAsia="en-IN"/>
    </w:rPr>
  </w:style>
  <w:style w:type="character" w:customStyle="1" w:styleId="timesnewromanChar">
    <w:name w:val="times new roman Char"/>
    <w:basedOn w:val="DefaultParagraphFont"/>
    <w:link w:val="timesnewroman"/>
    <w:rsid w:val="00EF171F"/>
    <w:rPr>
      <w:rFonts w:ascii="Times New Roman" w:eastAsia="Times New Roman" w:hAnsi="Times New Roman" w:cs="Times New Roman"/>
      <w:lang w:val="en-IN" w:eastAsia="en-IN"/>
    </w:rPr>
  </w:style>
  <w:style w:type="paragraph" w:styleId="ListParagraph">
    <w:name w:val="List Paragraph"/>
    <w:basedOn w:val="Normal"/>
    <w:link w:val="ListParagraphChar"/>
    <w:uiPriority w:val="34"/>
    <w:qFormat/>
    <w:rsid w:val="00CF1DCE"/>
    <w:pPr>
      <w:ind w:left="720"/>
      <w:contextualSpacing/>
    </w:pPr>
  </w:style>
  <w:style w:type="paragraph" w:styleId="BodyTextIndent">
    <w:name w:val="Body Text Indent"/>
    <w:basedOn w:val="Normal"/>
    <w:link w:val="BodyTextIndentChar"/>
    <w:uiPriority w:val="99"/>
    <w:rsid w:val="00815F4F"/>
    <w:pPr>
      <w:spacing w:line="480" w:lineRule="auto"/>
      <w:ind w:firstLine="720"/>
    </w:pPr>
    <w:rPr>
      <w:rFonts w:ascii="Bookman Old Style" w:eastAsia="Times New Roman" w:hAnsi="Bookman Old Style" w:cs="Times New Roman"/>
      <w:sz w:val="24"/>
      <w:szCs w:val="24"/>
    </w:rPr>
  </w:style>
  <w:style w:type="character" w:customStyle="1" w:styleId="BodyTextIndentChar">
    <w:name w:val="Body Text Indent Char"/>
    <w:basedOn w:val="DefaultParagraphFont"/>
    <w:link w:val="BodyTextIndent"/>
    <w:uiPriority w:val="99"/>
    <w:rsid w:val="00815F4F"/>
    <w:rPr>
      <w:rFonts w:ascii="Bookman Old Style" w:eastAsia="Times New Roman" w:hAnsi="Bookman Old Style" w:cs="Times New Roman"/>
      <w:sz w:val="24"/>
      <w:szCs w:val="24"/>
    </w:rPr>
  </w:style>
  <w:style w:type="paragraph" w:customStyle="1" w:styleId="ETDBodyText">
    <w:name w:val="ETDBodyText"/>
    <w:basedOn w:val="Normal"/>
    <w:uiPriority w:val="99"/>
    <w:rsid w:val="00815F4F"/>
    <w:pPr>
      <w:spacing w:line="48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833AB2"/>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833AB2"/>
    <w:rPr>
      <w:rFonts w:ascii="Calibri" w:eastAsia="Calibri" w:hAnsi="Calibri" w:cs="Times New Roman"/>
      <w:sz w:val="20"/>
      <w:szCs w:val="20"/>
    </w:rPr>
  </w:style>
  <w:style w:type="paragraph" w:styleId="BodyText2">
    <w:name w:val="Body Text 2"/>
    <w:basedOn w:val="Normal"/>
    <w:link w:val="BodyText2Char"/>
    <w:unhideWhenUsed/>
    <w:rsid w:val="008B1FC3"/>
    <w:pPr>
      <w:spacing w:after="120" w:line="480" w:lineRule="auto"/>
    </w:pPr>
  </w:style>
  <w:style w:type="character" w:customStyle="1" w:styleId="BodyText2Char">
    <w:name w:val="Body Text 2 Char"/>
    <w:basedOn w:val="DefaultParagraphFont"/>
    <w:link w:val="BodyText2"/>
    <w:semiHidden/>
    <w:rsid w:val="008B1FC3"/>
  </w:style>
  <w:style w:type="paragraph" w:styleId="BodyText3">
    <w:name w:val="Body Text 3"/>
    <w:basedOn w:val="Normal"/>
    <w:link w:val="BodyText3Char"/>
    <w:unhideWhenUsed/>
    <w:rsid w:val="003D30C4"/>
    <w:pPr>
      <w:spacing w:after="120"/>
    </w:pPr>
    <w:rPr>
      <w:sz w:val="16"/>
      <w:szCs w:val="16"/>
    </w:rPr>
  </w:style>
  <w:style w:type="character" w:customStyle="1" w:styleId="BodyText3Char">
    <w:name w:val="Body Text 3 Char"/>
    <w:basedOn w:val="DefaultParagraphFont"/>
    <w:link w:val="BodyText3"/>
    <w:semiHidden/>
    <w:rsid w:val="003D30C4"/>
    <w:rPr>
      <w:sz w:val="16"/>
      <w:szCs w:val="16"/>
    </w:rPr>
  </w:style>
  <w:style w:type="paragraph" w:customStyle="1" w:styleId="NormalJustified">
    <w:name w:val="Normal  + Justified"/>
    <w:aliases w:val="Before:  Auto,After:  Auto,Line spacing:  1.5 lin..."/>
    <w:basedOn w:val="NormalWeb"/>
    <w:rsid w:val="00E61BA2"/>
    <w:pPr>
      <w:spacing w:before="0" w:beforeAutospacing="0" w:after="0" w:afterAutospacing="0"/>
    </w:pPr>
  </w:style>
  <w:style w:type="paragraph" w:customStyle="1" w:styleId="Default">
    <w:name w:val="Default"/>
    <w:rsid w:val="00B40E80"/>
    <w:pPr>
      <w:autoSpaceDE w:val="0"/>
      <w:autoSpaceDN w:val="0"/>
      <w:adjustRightInd w:val="0"/>
      <w:spacing w:line="240" w:lineRule="auto"/>
    </w:pPr>
    <w:rPr>
      <w:rFonts w:ascii="Times New Roman" w:eastAsiaTheme="minorHAnsi" w:hAnsi="Times New Roman" w:cs="Times New Roman"/>
      <w:color w:val="000000"/>
      <w:sz w:val="24"/>
      <w:szCs w:val="24"/>
    </w:rPr>
  </w:style>
  <w:style w:type="character" w:customStyle="1" w:styleId="Heading1Char">
    <w:name w:val="Heading 1 Char"/>
    <w:basedOn w:val="DefaultParagraphFont"/>
    <w:link w:val="Heading1"/>
    <w:uiPriority w:val="99"/>
    <w:rsid w:val="000107FB"/>
    <w:rPr>
      <w:rFonts w:ascii="Cambria" w:eastAsia="Times New Roman" w:hAnsi="Cambria" w:cs="Times New Roman"/>
      <w:b/>
      <w:bCs/>
      <w:kern w:val="32"/>
      <w:sz w:val="32"/>
      <w:szCs w:val="32"/>
    </w:rPr>
  </w:style>
  <w:style w:type="character" w:styleId="Strong">
    <w:name w:val="Strong"/>
    <w:basedOn w:val="DefaultParagraphFont"/>
    <w:uiPriority w:val="22"/>
    <w:qFormat/>
    <w:rsid w:val="000107FB"/>
    <w:rPr>
      <w:b/>
      <w:bCs/>
    </w:rPr>
  </w:style>
  <w:style w:type="character" w:customStyle="1" w:styleId="apple-converted-space">
    <w:name w:val="apple-converted-space"/>
    <w:basedOn w:val="DefaultParagraphFont"/>
    <w:rsid w:val="000107FB"/>
  </w:style>
  <w:style w:type="character" w:customStyle="1" w:styleId="apple-style-span">
    <w:name w:val="apple-style-span"/>
    <w:basedOn w:val="DefaultParagraphFont"/>
    <w:rsid w:val="000107FB"/>
  </w:style>
  <w:style w:type="character" w:styleId="BookTitle">
    <w:name w:val="Book Title"/>
    <w:basedOn w:val="DefaultParagraphFont"/>
    <w:qFormat/>
    <w:rsid w:val="002F0170"/>
    <w:rPr>
      <w:b/>
      <w:bCs/>
      <w:smallCaps/>
      <w:spacing w:val="5"/>
    </w:rPr>
  </w:style>
  <w:style w:type="character" w:customStyle="1" w:styleId="citation-abbreviation2">
    <w:name w:val="citation-abbreviation2"/>
    <w:basedOn w:val="DefaultParagraphFont"/>
    <w:rsid w:val="002F0170"/>
  </w:style>
  <w:style w:type="character" w:customStyle="1" w:styleId="citation-publication-date">
    <w:name w:val="citation-publication-date"/>
    <w:basedOn w:val="DefaultParagraphFont"/>
    <w:rsid w:val="002F0170"/>
  </w:style>
  <w:style w:type="character" w:customStyle="1" w:styleId="citation-volume">
    <w:name w:val="citation-volume"/>
    <w:basedOn w:val="DefaultParagraphFont"/>
    <w:rsid w:val="002F0170"/>
  </w:style>
  <w:style w:type="character" w:customStyle="1" w:styleId="citation-issue">
    <w:name w:val="citation-issue"/>
    <w:basedOn w:val="DefaultParagraphFont"/>
    <w:rsid w:val="002F0170"/>
  </w:style>
  <w:style w:type="character" w:customStyle="1" w:styleId="citation-flpages">
    <w:name w:val="citation-flpages"/>
    <w:basedOn w:val="DefaultParagraphFont"/>
    <w:rsid w:val="002F0170"/>
  </w:style>
  <w:style w:type="paragraph" w:styleId="BodyText">
    <w:name w:val="Body Text"/>
    <w:basedOn w:val="Normal"/>
    <w:link w:val="BodyTextChar"/>
    <w:unhideWhenUsed/>
    <w:rsid w:val="00D93A37"/>
    <w:pPr>
      <w:spacing w:after="120"/>
    </w:pPr>
  </w:style>
  <w:style w:type="character" w:customStyle="1" w:styleId="BodyTextChar">
    <w:name w:val="Body Text Char"/>
    <w:basedOn w:val="DefaultParagraphFont"/>
    <w:link w:val="BodyText"/>
    <w:rsid w:val="00D93A37"/>
  </w:style>
  <w:style w:type="character" w:customStyle="1" w:styleId="Heading9Char">
    <w:name w:val="Heading 9 Char"/>
    <w:basedOn w:val="DefaultParagraphFont"/>
    <w:link w:val="Heading9"/>
    <w:uiPriority w:val="9"/>
    <w:rsid w:val="00D93A37"/>
    <w:rPr>
      <w:rFonts w:asciiTheme="majorHAnsi" w:eastAsiaTheme="majorEastAsia" w:hAnsiTheme="majorHAnsi" w:cstheme="majorBidi"/>
      <w:i/>
      <w:iCs/>
      <w:color w:val="404040" w:themeColor="text1" w:themeTint="BF"/>
      <w:sz w:val="20"/>
      <w:szCs w:val="20"/>
    </w:rPr>
  </w:style>
  <w:style w:type="paragraph" w:styleId="ListBullet">
    <w:name w:val="List Bullet"/>
    <w:basedOn w:val="Normal"/>
    <w:autoRedefine/>
    <w:rsid w:val="00F152FA"/>
    <w:pPr>
      <w:numPr>
        <w:numId w:val="1"/>
      </w:numPr>
      <w:tabs>
        <w:tab w:val="left" w:pos="720"/>
      </w:tabs>
      <w:spacing w:line="480" w:lineRule="auto"/>
      <w:ind w:right="389"/>
    </w:pPr>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BA3AE6"/>
    <w:rPr>
      <w:rFonts w:asciiTheme="majorHAnsi" w:eastAsiaTheme="majorEastAsia" w:hAnsiTheme="majorHAnsi" w:cstheme="majorBidi"/>
      <w:color w:val="243F60" w:themeColor="accent1" w:themeShade="7F"/>
    </w:rPr>
  </w:style>
  <w:style w:type="character" w:customStyle="1" w:styleId="nbapihighlight1">
    <w:name w:val="nbapihighlight1"/>
    <w:basedOn w:val="DefaultParagraphFont"/>
    <w:rsid w:val="00BA3AE6"/>
  </w:style>
  <w:style w:type="character" w:styleId="CommentReference">
    <w:name w:val="annotation reference"/>
    <w:basedOn w:val="DefaultParagraphFont"/>
    <w:uiPriority w:val="99"/>
    <w:unhideWhenUsed/>
    <w:rsid w:val="00BA3AE6"/>
    <w:rPr>
      <w:sz w:val="16"/>
      <w:szCs w:val="16"/>
    </w:rPr>
  </w:style>
  <w:style w:type="paragraph" w:styleId="CommentSubject">
    <w:name w:val="annotation subject"/>
    <w:basedOn w:val="CommentText"/>
    <w:next w:val="CommentText"/>
    <w:link w:val="CommentSubjectChar"/>
    <w:uiPriority w:val="99"/>
    <w:unhideWhenUsed/>
    <w:rsid w:val="00BA3AE6"/>
    <w:rPr>
      <w:rFonts w:asciiTheme="minorHAnsi" w:eastAsiaTheme="minorEastAsia" w:hAnsiTheme="minorHAnsi" w:cs="Mangal"/>
      <w:b/>
      <w:bCs/>
      <w:szCs w:val="18"/>
      <w:lang w:bidi="hi-IN"/>
    </w:rPr>
  </w:style>
  <w:style w:type="character" w:customStyle="1" w:styleId="CommentSubjectChar">
    <w:name w:val="Comment Subject Char"/>
    <w:basedOn w:val="CommentTextChar"/>
    <w:link w:val="CommentSubject"/>
    <w:rsid w:val="00BA3AE6"/>
    <w:rPr>
      <w:rFonts w:ascii="Calibri" w:eastAsia="Calibri" w:hAnsi="Calibri" w:cs="Mangal"/>
      <w:b/>
      <w:bCs/>
      <w:sz w:val="20"/>
      <w:szCs w:val="18"/>
      <w:lang w:bidi="hi-IN"/>
    </w:rPr>
  </w:style>
  <w:style w:type="character" w:customStyle="1" w:styleId="gi">
    <w:name w:val="gi"/>
    <w:basedOn w:val="DefaultParagraphFont"/>
    <w:rsid w:val="009370C9"/>
  </w:style>
  <w:style w:type="character" w:customStyle="1" w:styleId="Heading3Char">
    <w:name w:val="Heading 3 Char"/>
    <w:basedOn w:val="DefaultParagraphFont"/>
    <w:link w:val="Heading3"/>
    <w:uiPriority w:val="9"/>
    <w:rsid w:val="00961B00"/>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61B00"/>
    <w:rPr>
      <w:i/>
      <w:iCs/>
    </w:rPr>
  </w:style>
  <w:style w:type="paragraph" w:customStyle="1" w:styleId="subhead">
    <w:name w:val="subhead"/>
    <w:basedOn w:val="Normal"/>
    <w:rsid w:val="00961B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abbreviation">
    <w:name w:val="citation-abbreviation"/>
    <w:basedOn w:val="DefaultParagraphFont"/>
    <w:rsid w:val="00961B00"/>
  </w:style>
  <w:style w:type="paragraph" w:styleId="Caption">
    <w:name w:val="caption"/>
    <w:basedOn w:val="Normal"/>
    <w:next w:val="Normal"/>
    <w:uiPriority w:val="35"/>
    <w:qFormat/>
    <w:rsid w:val="00572DF8"/>
    <w:pPr>
      <w:spacing w:before="120" w:after="120"/>
      <w:jc w:val="center"/>
    </w:pPr>
    <w:rPr>
      <w:rFonts w:ascii="Verdana" w:eastAsia="Times New Roman" w:hAnsi="Verdana" w:cs="Times New Roman"/>
      <w:b/>
      <w:sz w:val="20"/>
      <w:szCs w:val="20"/>
    </w:rPr>
  </w:style>
  <w:style w:type="character" w:customStyle="1" w:styleId="A5">
    <w:name w:val="A5"/>
    <w:rsid w:val="00D04876"/>
    <w:rPr>
      <w:rFonts w:cs="ZXSYWP+MinionPro-Cn"/>
      <w:color w:val="000000"/>
      <w:sz w:val="54"/>
      <w:szCs w:val="54"/>
    </w:rPr>
  </w:style>
  <w:style w:type="character" w:customStyle="1" w:styleId="A9">
    <w:name w:val="A9"/>
    <w:rsid w:val="009A19F7"/>
    <w:rPr>
      <w:rFonts w:cs="ZXSYWP+MinionPro-Cn"/>
      <w:color w:val="000000"/>
      <w:sz w:val="31"/>
      <w:szCs w:val="31"/>
    </w:rPr>
  </w:style>
  <w:style w:type="character" w:customStyle="1" w:styleId="A15">
    <w:name w:val="A15"/>
    <w:rsid w:val="009A19F7"/>
    <w:rPr>
      <w:rFonts w:cs="ZXSYWP+MinionPro-Cn"/>
      <w:color w:val="000000"/>
      <w:sz w:val="32"/>
      <w:szCs w:val="32"/>
    </w:rPr>
  </w:style>
  <w:style w:type="character" w:customStyle="1" w:styleId="go">
    <w:name w:val="go"/>
    <w:basedOn w:val="DefaultParagraphFont"/>
    <w:rsid w:val="001562CC"/>
  </w:style>
  <w:style w:type="character" w:customStyle="1" w:styleId="hit">
    <w:name w:val="hit"/>
    <w:basedOn w:val="DefaultParagraphFont"/>
    <w:rsid w:val="00A64F30"/>
  </w:style>
  <w:style w:type="character" w:customStyle="1" w:styleId="author">
    <w:name w:val="author"/>
    <w:basedOn w:val="DefaultParagraphFont"/>
    <w:rsid w:val="00A64F30"/>
  </w:style>
  <w:style w:type="character" w:customStyle="1" w:styleId="container">
    <w:name w:val="container"/>
    <w:basedOn w:val="DefaultParagraphFont"/>
    <w:rsid w:val="00A64F30"/>
  </w:style>
  <w:style w:type="character" w:customStyle="1" w:styleId="year">
    <w:name w:val="year"/>
    <w:basedOn w:val="DefaultParagraphFont"/>
    <w:rsid w:val="00A64F30"/>
  </w:style>
  <w:style w:type="character" w:customStyle="1" w:styleId="pages">
    <w:name w:val="pages"/>
    <w:basedOn w:val="DefaultParagraphFont"/>
    <w:rsid w:val="00A64F30"/>
  </w:style>
  <w:style w:type="paragraph" w:customStyle="1" w:styleId="DefaultText1">
    <w:name w:val="Default Text:1"/>
    <w:basedOn w:val="Normal"/>
    <w:rsid w:val="005D7481"/>
    <w:pPr>
      <w:autoSpaceDE w:val="0"/>
      <w:autoSpaceDN w:val="0"/>
      <w:adjustRightInd w:val="0"/>
      <w:spacing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rsid w:val="00A05FD4"/>
  </w:style>
  <w:style w:type="character" w:styleId="LineNumber">
    <w:name w:val="line number"/>
    <w:basedOn w:val="DefaultParagraphFont"/>
    <w:uiPriority w:val="99"/>
    <w:rsid w:val="00A05FD4"/>
  </w:style>
  <w:style w:type="character" w:customStyle="1" w:styleId="googqs-tidbit1">
    <w:name w:val="goog_qs-tidbit1"/>
    <w:basedOn w:val="DefaultParagraphFont"/>
    <w:rsid w:val="00FD3BC1"/>
    <w:rPr>
      <w:vanish w:val="0"/>
      <w:webHidden w:val="0"/>
      <w:specVanish w:val="0"/>
    </w:rPr>
  </w:style>
  <w:style w:type="paragraph" w:customStyle="1" w:styleId="title1">
    <w:name w:val="title1"/>
    <w:basedOn w:val="Normal"/>
    <w:uiPriority w:val="99"/>
    <w:rsid w:val="00FD3BC1"/>
    <w:pPr>
      <w:spacing w:line="240" w:lineRule="auto"/>
    </w:pPr>
    <w:rPr>
      <w:rFonts w:ascii="Times New Roman" w:eastAsia="Times New Roman" w:hAnsi="Times New Roman" w:cs="Times New Roman"/>
      <w:sz w:val="29"/>
      <w:szCs w:val="29"/>
    </w:rPr>
  </w:style>
  <w:style w:type="paragraph" w:styleId="Title">
    <w:name w:val="Title"/>
    <w:basedOn w:val="Normal"/>
    <w:link w:val="TitleChar"/>
    <w:uiPriority w:val="10"/>
    <w:qFormat/>
    <w:rsid w:val="00E82CD4"/>
    <w:pPr>
      <w:spacing w:line="48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uiPriority w:val="10"/>
    <w:rsid w:val="00E82CD4"/>
    <w:rPr>
      <w:rFonts w:ascii="Times New Roman" w:eastAsia="Times New Roman" w:hAnsi="Times New Roman" w:cs="Times New Roman"/>
      <w:b/>
      <w:sz w:val="24"/>
      <w:szCs w:val="20"/>
    </w:rPr>
  </w:style>
  <w:style w:type="paragraph" w:styleId="BodyTextIndent3">
    <w:name w:val="Body Text Indent 3"/>
    <w:basedOn w:val="Normal"/>
    <w:link w:val="BodyTextIndent3Char"/>
    <w:rsid w:val="00C831F3"/>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C831F3"/>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rsid w:val="00CF5AC1"/>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CF5AC1"/>
    <w:rPr>
      <w:rFonts w:ascii="Times New Roman" w:eastAsia="Times New Roman" w:hAnsi="Times New Roman" w:cs="Times New Roman"/>
      <w:sz w:val="24"/>
      <w:szCs w:val="24"/>
    </w:rPr>
  </w:style>
  <w:style w:type="character" w:customStyle="1" w:styleId="surname">
    <w:name w:val="surname"/>
    <w:basedOn w:val="DefaultParagraphFont"/>
    <w:rsid w:val="006C3007"/>
  </w:style>
  <w:style w:type="character" w:customStyle="1" w:styleId="pubtitle1">
    <w:name w:val="pubtitle1"/>
    <w:basedOn w:val="DefaultParagraphFont"/>
    <w:rsid w:val="006C3007"/>
    <w:rPr>
      <w:b/>
      <w:bCs/>
      <w:sz w:val="36"/>
      <w:szCs w:val="36"/>
    </w:rPr>
  </w:style>
  <w:style w:type="character" w:customStyle="1" w:styleId="A2">
    <w:name w:val="A2"/>
    <w:uiPriority w:val="99"/>
    <w:rsid w:val="00A44E69"/>
    <w:rPr>
      <w:color w:val="000000"/>
      <w:sz w:val="22"/>
      <w:szCs w:val="22"/>
    </w:rPr>
  </w:style>
  <w:style w:type="character" w:customStyle="1" w:styleId="A7">
    <w:name w:val="A7"/>
    <w:uiPriority w:val="99"/>
    <w:rsid w:val="00A44E69"/>
    <w:rPr>
      <w:color w:val="000000"/>
      <w:sz w:val="18"/>
      <w:szCs w:val="18"/>
    </w:rPr>
  </w:style>
  <w:style w:type="character" w:customStyle="1" w:styleId="A17">
    <w:name w:val="A17"/>
    <w:uiPriority w:val="99"/>
    <w:rsid w:val="00A44E69"/>
    <w:rPr>
      <w:color w:val="000000"/>
      <w:sz w:val="10"/>
      <w:szCs w:val="10"/>
    </w:rPr>
  </w:style>
  <w:style w:type="character" w:styleId="HTMLCite">
    <w:name w:val="HTML Cite"/>
    <w:basedOn w:val="DefaultParagraphFont"/>
    <w:uiPriority w:val="99"/>
    <w:unhideWhenUsed/>
    <w:rsid w:val="00D057B6"/>
    <w:rPr>
      <w:i w:val="0"/>
      <w:iCs w:val="0"/>
    </w:rPr>
  </w:style>
  <w:style w:type="character" w:customStyle="1" w:styleId="mixed-citation">
    <w:name w:val="mixed-citation"/>
    <w:basedOn w:val="DefaultParagraphFont"/>
    <w:rsid w:val="00D057B6"/>
  </w:style>
  <w:style w:type="character" w:customStyle="1" w:styleId="ref-journal1">
    <w:name w:val="ref-journal1"/>
    <w:basedOn w:val="DefaultParagraphFont"/>
    <w:rsid w:val="00D057B6"/>
    <w:rPr>
      <w:i/>
      <w:iCs/>
    </w:rPr>
  </w:style>
  <w:style w:type="character" w:customStyle="1" w:styleId="ext-reflink">
    <w:name w:val="ext-reflink"/>
    <w:basedOn w:val="DefaultParagraphFont"/>
    <w:rsid w:val="00D057B6"/>
  </w:style>
  <w:style w:type="character" w:customStyle="1" w:styleId="ref-vol1">
    <w:name w:val="ref-vol1"/>
    <w:basedOn w:val="DefaultParagraphFont"/>
    <w:rsid w:val="00D057B6"/>
    <w:rPr>
      <w:b/>
      <w:bCs/>
    </w:rPr>
  </w:style>
  <w:style w:type="paragraph" w:customStyle="1" w:styleId="Standardowy">
    <w:name w:val="Standardowy"/>
    <w:basedOn w:val="Normal"/>
    <w:next w:val="Normal"/>
    <w:uiPriority w:val="99"/>
    <w:rsid w:val="00D057B6"/>
    <w:pPr>
      <w:autoSpaceDE w:val="0"/>
      <w:autoSpaceDN w:val="0"/>
      <w:adjustRightInd w:val="0"/>
      <w:spacing w:line="240" w:lineRule="auto"/>
    </w:pPr>
    <w:rPr>
      <w:rFonts w:ascii="HPPPPK+TimesNewRoman" w:eastAsia="Calibri" w:hAnsi="HPPPPK+TimesNewRoman" w:cs="Times New Roman"/>
      <w:bCs/>
      <w:sz w:val="24"/>
      <w:szCs w:val="24"/>
      <w:lang w:val="en-IN"/>
    </w:rPr>
  </w:style>
  <w:style w:type="character" w:customStyle="1" w:styleId="A8">
    <w:name w:val="A8"/>
    <w:uiPriority w:val="99"/>
    <w:rsid w:val="00D057B6"/>
    <w:rPr>
      <w:rFonts w:cs="Times"/>
      <w:color w:val="000000"/>
      <w:sz w:val="11"/>
      <w:szCs w:val="11"/>
    </w:rPr>
  </w:style>
  <w:style w:type="character" w:customStyle="1" w:styleId="st1">
    <w:name w:val="st1"/>
    <w:basedOn w:val="DefaultParagraphFont"/>
    <w:rsid w:val="00D057B6"/>
  </w:style>
  <w:style w:type="character" w:customStyle="1" w:styleId="jrnl">
    <w:name w:val="jrnl"/>
    <w:basedOn w:val="DefaultParagraphFont"/>
    <w:uiPriority w:val="99"/>
    <w:rsid w:val="00D057B6"/>
  </w:style>
  <w:style w:type="character" w:customStyle="1" w:styleId="citation">
    <w:name w:val="citation"/>
    <w:basedOn w:val="DefaultParagraphFont"/>
    <w:rsid w:val="00D929BE"/>
  </w:style>
  <w:style w:type="character" w:customStyle="1" w:styleId="articletitle">
    <w:name w:val="articletitle"/>
    <w:basedOn w:val="DefaultParagraphFont"/>
    <w:rsid w:val="00D929BE"/>
  </w:style>
  <w:style w:type="character" w:customStyle="1" w:styleId="journaltitle">
    <w:name w:val="journaltitle"/>
    <w:basedOn w:val="DefaultParagraphFont"/>
    <w:rsid w:val="00D929BE"/>
  </w:style>
  <w:style w:type="character" w:customStyle="1" w:styleId="vol">
    <w:name w:val="vol"/>
    <w:basedOn w:val="DefaultParagraphFont"/>
    <w:rsid w:val="00D929BE"/>
  </w:style>
  <w:style w:type="character" w:customStyle="1" w:styleId="pagefirst">
    <w:name w:val="pagefirst"/>
    <w:basedOn w:val="DefaultParagraphFont"/>
    <w:rsid w:val="00D929BE"/>
  </w:style>
  <w:style w:type="character" w:customStyle="1" w:styleId="pagelast">
    <w:name w:val="pagelast"/>
    <w:basedOn w:val="DefaultParagraphFont"/>
    <w:rsid w:val="00D929BE"/>
  </w:style>
  <w:style w:type="character" w:customStyle="1" w:styleId="slug-pages">
    <w:name w:val="slug-pages"/>
    <w:basedOn w:val="DefaultParagraphFont"/>
    <w:rsid w:val="00D929BE"/>
  </w:style>
  <w:style w:type="paragraph" w:styleId="DocumentMap">
    <w:name w:val="Document Map"/>
    <w:basedOn w:val="Normal"/>
    <w:link w:val="DocumentMapChar"/>
    <w:uiPriority w:val="99"/>
    <w:semiHidden/>
    <w:unhideWhenUsed/>
    <w:rsid w:val="002A0D32"/>
    <w:pPr>
      <w:spacing w:line="240" w:lineRule="auto"/>
      <w:jc w:val="left"/>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2A0D32"/>
    <w:rPr>
      <w:rFonts w:ascii="Tahoma" w:eastAsia="Times New Roman" w:hAnsi="Tahoma" w:cs="Tahoma"/>
      <w:sz w:val="16"/>
      <w:szCs w:val="16"/>
    </w:rPr>
  </w:style>
  <w:style w:type="character" w:customStyle="1" w:styleId="Bodytext0">
    <w:name w:val="Body text_"/>
    <w:basedOn w:val="DefaultParagraphFont"/>
    <w:link w:val="BodyText1"/>
    <w:rsid w:val="0072606B"/>
    <w:rPr>
      <w:rFonts w:ascii="Book Antiqua" w:eastAsia="Book Antiqua" w:hAnsi="Book Antiqua" w:cs="Book Antiqua"/>
      <w:sz w:val="14"/>
      <w:szCs w:val="14"/>
      <w:shd w:val="clear" w:color="auto" w:fill="FFFFFF"/>
    </w:rPr>
  </w:style>
  <w:style w:type="character" w:customStyle="1" w:styleId="BodytextItalic">
    <w:name w:val="Body text + Italic"/>
    <w:basedOn w:val="Bodytext0"/>
    <w:rsid w:val="0072606B"/>
    <w:rPr>
      <w:rFonts w:ascii="Book Antiqua" w:eastAsia="Book Antiqua" w:hAnsi="Book Antiqua" w:cs="Book Antiqua"/>
      <w:i/>
      <w:iCs/>
      <w:sz w:val="14"/>
      <w:szCs w:val="14"/>
      <w:shd w:val="clear" w:color="auto" w:fill="FFFFFF"/>
    </w:rPr>
  </w:style>
  <w:style w:type="paragraph" w:customStyle="1" w:styleId="BodyText1">
    <w:name w:val="Body Text1"/>
    <w:basedOn w:val="Normal"/>
    <w:link w:val="Bodytext0"/>
    <w:rsid w:val="0072606B"/>
    <w:pPr>
      <w:shd w:val="clear" w:color="auto" w:fill="FFFFFF"/>
      <w:spacing w:after="60" w:line="187" w:lineRule="exact"/>
      <w:ind w:hanging="360"/>
    </w:pPr>
    <w:rPr>
      <w:rFonts w:ascii="Book Antiqua" w:eastAsia="Book Antiqua" w:hAnsi="Book Antiqua" w:cs="Book Antiqua"/>
      <w:sz w:val="14"/>
      <w:szCs w:val="14"/>
    </w:rPr>
  </w:style>
  <w:style w:type="table" w:styleId="LightShading-Accent3">
    <w:name w:val="Light Shading Accent 3"/>
    <w:basedOn w:val="TableNormal"/>
    <w:uiPriority w:val="60"/>
    <w:rsid w:val="00673051"/>
    <w:pPr>
      <w:spacing w:line="240" w:lineRule="auto"/>
      <w:jc w:val="left"/>
    </w:pPr>
    <w:rPr>
      <w:rFonts w:eastAsiaTheme="minorHAns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1">
    <w:name w:val="Light Shading1"/>
    <w:basedOn w:val="TableNormal"/>
    <w:uiPriority w:val="60"/>
    <w:rsid w:val="00673051"/>
    <w:pPr>
      <w:spacing w:line="240" w:lineRule="auto"/>
      <w:jc w:val="left"/>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673051"/>
    <w:pPr>
      <w:spacing w:line="240" w:lineRule="auto"/>
      <w:jc w:val="left"/>
    </w:pPr>
    <w:rPr>
      <w:rFonts w:eastAsiaTheme="minorHAnsi"/>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Accent11">
    <w:name w:val="Light List - Accent 11"/>
    <w:basedOn w:val="TableNormal"/>
    <w:uiPriority w:val="61"/>
    <w:rsid w:val="000A3F0F"/>
    <w:pPr>
      <w:spacing w:line="240" w:lineRule="auto"/>
      <w:jc w:val="left"/>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2">
    <w:name w:val="p2"/>
    <w:basedOn w:val="Normal"/>
    <w:rsid w:val="000A3F0F"/>
    <w:pPr>
      <w:spacing w:after="120"/>
    </w:pPr>
    <w:rPr>
      <w:rFonts w:ascii="Times New Roman" w:eastAsia="Times New Roman" w:hAnsi="Times New Roman" w:cs="Times New Roman"/>
      <w:sz w:val="24"/>
      <w:szCs w:val="24"/>
      <w:lang w:val="en-GB"/>
    </w:rPr>
  </w:style>
  <w:style w:type="character" w:customStyle="1" w:styleId="acknowledgment-journal-title">
    <w:name w:val="acknowledgment-journal-title"/>
    <w:basedOn w:val="DefaultParagraphFont"/>
    <w:uiPriority w:val="99"/>
    <w:rsid w:val="00166435"/>
  </w:style>
  <w:style w:type="character" w:customStyle="1" w:styleId="NormalWebChar">
    <w:name w:val="Normal (Web) Char"/>
    <w:basedOn w:val="DefaultParagraphFont"/>
    <w:uiPriority w:val="99"/>
    <w:rsid w:val="000E67C8"/>
    <w:rPr>
      <w:sz w:val="24"/>
      <w:szCs w:val="24"/>
      <w:lang w:val="en-US" w:eastAsia="en-US"/>
    </w:rPr>
  </w:style>
  <w:style w:type="character" w:customStyle="1" w:styleId="name">
    <w:name w:val="name"/>
    <w:basedOn w:val="DefaultParagraphFont"/>
    <w:rsid w:val="006A1C9A"/>
  </w:style>
  <w:style w:type="character" w:customStyle="1" w:styleId="author2">
    <w:name w:val="author2"/>
    <w:basedOn w:val="DefaultParagraphFont"/>
    <w:rsid w:val="006A1C9A"/>
  </w:style>
  <w:style w:type="character" w:customStyle="1" w:styleId="NoSpacingChar">
    <w:name w:val="No Spacing Char"/>
    <w:basedOn w:val="DefaultParagraphFont"/>
    <w:link w:val="NoSpacing"/>
    <w:uiPriority w:val="1"/>
    <w:rsid w:val="00A651A8"/>
    <w:rPr>
      <w:rFonts w:ascii="Times New Roman" w:eastAsia="Times New Roman" w:hAnsi="Times New Roman" w:cs="Times New Roman"/>
      <w:sz w:val="24"/>
      <w:szCs w:val="24"/>
      <w:lang w:val="en-IN" w:eastAsia="en-IN"/>
    </w:rPr>
  </w:style>
  <w:style w:type="character" w:customStyle="1" w:styleId="citationjournal">
    <w:name w:val="citation journal"/>
    <w:rsid w:val="00A651A8"/>
  </w:style>
  <w:style w:type="table" w:styleId="TableSimple1">
    <w:name w:val="Table Simple 1"/>
    <w:basedOn w:val="TableNormal"/>
    <w:rsid w:val="00472648"/>
    <w:pPr>
      <w:spacing w:line="240" w:lineRule="auto"/>
      <w:jc w:val="left"/>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st">
    <w:name w:val="st"/>
    <w:basedOn w:val="DefaultParagraphFont"/>
    <w:rsid w:val="000F59BB"/>
  </w:style>
  <w:style w:type="paragraph" w:styleId="EndnoteText">
    <w:name w:val="endnote text"/>
    <w:basedOn w:val="Normal"/>
    <w:link w:val="EndnoteTextChar"/>
    <w:uiPriority w:val="99"/>
    <w:unhideWhenUsed/>
    <w:rsid w:val="000F25CE"/>
    <w:pPr>
      <w:spacing w:line="240" w:lineRule="auto"/>
      <w:jc w:val="left"/>
    </w:pPr>
    <w:rPr>
      <w:rFonts w:eastAsiaTheme="minorHAnsi"/>
      <w:sz w:val="20"/>
      <w:szCs w:val="20"/>
    </w:rPr>
  </w:style>
  <w:style w:type="character" w:customStyle="1" w:styleId="EndnoteTextChar">
    <w:name w:val="Endnote Text Char"/>
    <w:basedOn w:val="DefaultParagraphFont"/>
    <w:link w:val="EndnoteText"/>
    <w:uiPriority w:val="99"/>
    <w:rsid w:val="000F25CE"/>
    <w:rPr>
      <w:rFonts w:eastAsiaTheme="minorHAnsi"/>
      <w:sz w:val="20"/>
      <w:szCs w:val="20"/>
    </w:rPr>
  </w:style>
  <w:style w:type="paragraph" w:customStyle="1" w:styleId="Normal18pt">
    <w:name w:val="Normal +18pt"/>
    <w:basedOn w:val="Normal"/>
    <w:rsid w:val="002E5124"/>
    <w:pPr>
      <w:ind w:left="-907"/>
    </w:pPr>
    <w:rPr>
      <w:rFonts w:ascii="Times New Roman" w:eastAsia="Times New Roman" w:hAnsi="Times New Roman" w:cs="Times New Roman"/>
      <w:sz w:val="36"/>
      <w:szCs w:val="36"/>
    </w:rPr>
  </w:style>
  <w:style w:type="character" w:customStyle="1" w:styleId="Heading4Char">
    <w:name w:val="Heading 4 Char"/>
    <w:basedOn w:val="DefaultParagraphFont"/>
    <w:link w:val="Heading4"/>
    <w:uiPriority w:val="9"/>
    <w:rsid w:val="00A72F6F"/>
    <w:rPr>
      <w:rFonts w:ascii="Times New Roman" w:eastAsia="Times New Roman" w:hAnsi="Times New Roman" w:cs="Mangal"/>
      <w:b/>
      <w:bCs/>
      <w:sz w:val="28"/>
      <w:szCs w:val="28"/>
    </w:rPr>
  </w:style>
  <w:style w:type="paragraph" w:customStyle="1" w:styleId="DefaultText">
    <w:name w:val="Default Text"/>
    <w:basedOn w:val="Normal"/>
    <w:link w:val="DefaultTextChar"/>
    <w:rsid w:val="0060341A"/>
    <w:pPr>
      <w:spacing w:line="240" w:lineRule="auto"/>
    </w:pPr>
    <w:rPr>
      <w:rFonts w:ascii="Times New Roman" w:eastAsia="Times New Roman" w:hAnsi="Times New Roman" w:cs="Times New Roman"/>
      <w:sz w:val="24"/>
      <w:szCs w:val="20"/>
      <w:lang w:val="en-GB"/>
    </w:rPr>
  </w:style>
  <w:style w:type="character" w:customStyle="1" w:styleId="DefaultTextChar">
    <w:name w:val="Default Text Char"/>
    <w:basedOn w:val="DefaultParagraphFont"/>
    <w:link w:val="DefaultText"/>
    <w:rsid w:val="0060341A"/>
    <w:rPr>
      <w:rFonts w:ascii="Times New Roman" w:eastAsia="Times New Roman" w:hAnsi="Times New Roman" w:cs="Times New Roman"/>
      <w:sz w:val="24"/>
      <w:szCs w:val="20"/>
      <w:lang w:val="en-GB"/>
    </w:rPr>
  </w:style>
  <w:style w:type="character" w:customStyle="1" w:styleId="subsm">
    <w:name w:val="subsm"/>
    <w:basedOn w:val="DefaultParagraphFont"/>
    <w:rsid w:val="0060341A"/>
  </w:style>
  <w:style w:type="paragraph" w:customStyle="1" w:styleId="hd">
    <w:name w:val="hd"/>
    <w:basedOn w:val="Normal"/>
    <w:rsid w:val="0060341A"/>
    <w:pPr>
      <w:tabs>
        <w:tab w:val="left" w:pos="737"/>
      </w:tabs>
      <w:spacing w:after="60" w:line="240" w:lineRule="auto"/>
      <w:jc w:val="center"/>
    </w:pPr>
    <w:rPr>
      <w:rFonts w:ascii="Century Schoolbook" w:eastAsia="Times New Roman" w:hAnsi="Century Schoolbook" w:cs="Times New Roman"/>
      <w:b/>
      <w:smallCaps/>
      <w:sz w:val="28"/>
      <w:szCs w:val="20"/>
      <w:lang w:val="en-GB"/>
    </w:rPr>
  </w:style>
  <w:style w:type="character" w:customStyle="1" w:styleId="highlight">
    <w:name w:val="highlight"/>
    <w:basedOn w:val="DefaultParagraphFont"/>
    <w:rsid w:val="002A5687"/>
  </w:style>
  <w:style w:type="paragraph" w:styleId="Subtitle">
    <w:name w:val="Subtitle"/>
    <w:basedOn w:val="Normal"/>
    <w:link w:val="SubtitleChar"/>
    <w:qFormat/>
    <w:rsid w:val="002A5687"/>
    <w:pPr>
      <w:widowControl w:val="0"/>
      <w:adjustRightInd w:val="0"/>
      <w:spacing w:line="360" w:lineRule="atLeast"/>
    </w:pPr>
    <w:rPr>
      <w:rFonts w:ascii="Times New Roman" w:eastAsia="Times New Roman" w:hAnsi="Times New Roman" w:cs="Times New Roman"/>
      <w:b/>
      <w:bCs/>
      <w:sz w:val="28"/>
      <w:szCs w:val="24"/>
    </w:rPr>
  </w:style>
  <w:style w:type="character" w:customStyle="1" w:styleId="SubtitleChar">
    <w:name w:val="Subtitle Char"/>
    <w:basedOn w:val="DefaultParagraphFont"/>
    <w:link w:val="Subtitle"/>
    <w:uiPriority w:val="11"/>
    <w:rsid w:val="002A5687"/>
    <w:rPr>
      <w:rFonts w:ascii="Times New Roman" w:eastAsia="Times New Roman" w:hAnsi="Times New Roman" w:cs="Times New Roman"/>
      <w:b/>
      <w:bCs/>
      <w:sz w:val="28"/>
      <w:szCs w:val="24"/>
    </w:rPr>
  </w:style>
  <w:style w:type="character" w:customStyle="1" w:styleId="schriftd">
    <w:name w:val="schriftd"/>
    <w:basedOn w:val="DefaultParagraphFont"/>
    <w:rsid w:val="00934E5E"/>
  </w:style>
  <w:style w:type="character" w:customStyle="1" w:styleId="authname">
    <w:name w:val="authname"/>
    <w:basedOn w:val="DefaultParagraphFont"/>
    <w:rsid w:val="00466AFF"/>
  </w:style>
  <w:style w:type="character" w:customStyle="1" w:styleId="hdr-volume">
    <w:name w:val="hdr-volume"/>
    <w:basedOn w:val="DefaultParagraphFont"/>
    <w:rsid w:val="00466AFF"/>
  </w:style>
  <w:style w:type="character" w:styleId="EndnoteReference">
    <w:name w:val="endnote reference"/>
    <w:basedOn w:val="DefaultParagraphFont"/>
    <w:unhideWhenUsed/>
    <w:rsid w:val="00D4772B"/>
    <w:rPr>
      <w:vertAlign w:val="superscript"/>
    </w:rPr>
  </w:style>
  <w:style w:type="table" w:customStyle="1" w:styleId="LightShading2">
    <w:name w:val="Light Shading2"/>
    <w:basedOn w:val="TableNormal"/>
    <w:uiPriority w:val="60"/>
    <w:rsid w:val="00D4772B"/>
    <w:pPr>
      <w:spacing w:line="240" w:lineRule="auto"/>
      <w:jc w:val="left"/>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0">
    <w:name w:val="Light Shading2"/>
    <w:basedOn w:val="TableNormal"/>
    <w:uiPriority w:val="60"/>
    <w:rsid w:val="00990E1E"/>
    <w:pPr>
      <w:spacing w:line="240" w:lineRule="auto"/>
      <w:jc w:val="left"/>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E55296"/>
    <w:pPr>
      <w:spacing w:line="240" w:lineRule="auto"/>
      <w:jc w:val="left"/>
    </w:pPr>
    <w:rPr>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E55296"/>
    <w:pPr>
      <w:spacing w:line="240" w:lineRule="auto"/>
      <w:jc w:val="left"/>
    </w:pPr>
    <w:rPr>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sejournal">
    <w:name w:val="se_journal"/>
    <w:basedOn w:val="DefaultParagraphFont"/>
    <w:rsid w:val="001631F1"/>
  </w:style>
  <w:style w:type="character" w:customStyle="1" w:styleId="A4">
    <w:name w:val="A4"/>
    <w:uiPriority w:val="99"/>
    <w:rsid w:val="00B42F85"/>
    <w:rPr>
      <w:rFonts w:cs="Adobe Garamond Pro"/>
      <w:color w:val="000000"/>
      <w:sz w:val="20"/>
      <w:szCs w:val="20"/>
    </w:rPr>
  </w:style>
  <w:style w:type="character" w:customStyle="1" w:styleId="Heading2Char">
    <w:name w:val="Heading 2 Char"/>
    <w:basedOn w:val="DefaultParagraphFont"/>
    <w:link w:val="Heading2"/>
    <w:uiPriority w:val="9"/>
    <w:rsid w:val="00FD20AB"/>
    <w:rPr>
      <w:rFonts w:ascii="Arial" w:eastAsia="Calibri" w:hAnsi="Arial" w:cs="Arial"/>
      <w:b/>
      <w:bCs/>
      <w:i/>
      <w:iCs/>
      <w:sz w:val="28"/>
      <w:szCs w:val="28"/>
    </w:rPr>
  </w:style>
  <w:style w:type="character" w:customStyle="1" w:styleId="al-vis">
    <w:name w:val="al-vis"/>
    <w:basedOn w:val="DefaultParagraphFont"/>
    <w:rsid w:val="00FD20AB"/>
    <w:rPr>
      <w:rFonts w:cs="Times New Roman"/>
    </w:rPr>
  </w:style>
  <w:style w:type="paragraph" w:customStyle="1" w:styleId="Standard">
    <w:name w:val="Standard"/>
    <w:rsid w:val="00FF284D"/>
    <w:pPr>
      <w:suppressAutoHyphens/>
      <w:autoSpaceDN w:val="0"/>
      <w:spacing w:line="240" w:lineRule="auto"/>
      <w:jc w:val="left"/>
      <w:textAlignment w:val="baseline"/>
    </w:pPr>
    <w:rPr>
      <w:rFonts w:ascii="Times New Roman" w:eastAsia="SimSun" w:hAnsi="Times New Roman" w:cs="Mangal"/>
      <w:kern w:val="3"/>
      <w:sz w:val="24"/>
      <w:szCs w:val="24"/>
      <w:lang w:val="en-IN" w:eastAsia="zh-CN" w:bidi="hi-IN"/>
    </w:rPr>
  </w:style>
  <w:style w:type="table" w:styleId="LightShading-Accent4">
    <w:name w:val="Light Shading Accent 4"/>
    <w:basedOn w:val="TableNormal"/>
    <w:uiPriority w:val="60"/>
    <w:rsid w:val="002F6C90"/>
    <w:pPr>
      <w:spacing w:line="240" w:lineRule="auto"/>
      <w:jc w:val="left"/>
    </w:pPr>
    <w:rPr>
      <w:color w:val="5F497A" w:themeColor="accent4" w:themeShade="BF"/>
      <w:lang w:val="en-IN" w:eastAsia="en-IN"/>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cit-print-date">
    <w:name w:val="cit-print-date"/>
    <w:basedOn w:val="DefaultParagraphFont"/>
    <w:uiPriority w:val="99"/>
    <w:rsid w:val="00653CC7"/>
  </w:style>
  <w:style w:type="character" w:customStyle="1" w:styleId="cit-sep">
    <w:name w:val="cit-sep"/>
    <w:basedOn w:val="DefaultParagraphFont"/>
    <w:rsid w:val="00653CC7"/>
  </w:style>
  <w:style w:type="character" w:customStyle="1" w:styleId="cit-vol">
    <w:name w:val="cit-vol"/>
    <w:basedOn w:val="DefaultParagraphFont"/>
    <w:uiPriority w:val="99"/>
    <w:rsid w:val="00653CC7"/>
  </w:style>
  <w:style w:type="character" w:customStyle="1" w:styleId="cit-issue">
    <w:name w:val="cit-issue"/>
    <w:basedOn w:val="DefaultParagraphFont"/>
    <w:rsid w:val="00653CC7"/>
  </w:style>
  <w:style w:type="character" w:customStyle="1" w:styleId="cit-first-page">
    <w:name w:val="cit-first-page"/>
    <w:basedOn w:val="DefaultParagraphFont"/>
    <w:uiPriority w:val="99"/>
    <w:rsid w:val="00653CC7"/>
  </w:style>
  <w:style w:type="character" w:customStyle="1" w:styleId="cit-last-page">
    <w:name w:val="cit-last-page"/>
    <w:basedOn w:val="DefaultParagraphFont"/>
    <w:uiPriority w:val="99"/>
    <w:rsid w:val="00653CC7"/>
  </w:style>
  <w:style w:type="character" w:customStyle="1" w:styleId="slug-pub-date3">
    <w:name w:val="slug-pub-date3"/>
    <w:basedOn w:val="DefaultParagraphFont"/>
    <w:rsid w:val="002C0B1D"/>
    <w:rPr>
      <w:b/>
      <w:bCs/>
    </w:rPr>
  </w:style>
  <w:style w:type="character" w:customStyle="1" w:styleId="slug-issue">
    <w:name w:val="slug-issue"/>
    <w:basedOn w:val="DefaultParagraphFont"/>
    <w:rsid w:val="002C0B1D"/>
  </w:style>
  <w:style w:type="character" w:customStyle="1" w:styleId="slug-pages3">
    <w:name w:val="slug-pages3"/>
    <w:basedOn w:val="DefaultParagraphFont"/>
    <w:rsid w:val="002C0B1D"/>
    <w:rPr>
      <w:b/>
      <w:bCs/>
    </w:rPr>
  </w:style>
  <w:style w:type="character" w:styleId="FollowedHyperlink">
    <w:name w:val="FollowedHyperlink"/>
    <w:basedOn w:val="DefaultParagraphFont"/>
    <w:unhideWhenUsed/>
    <w:rsid w:val="00C85D28"/>
    <w:rPr>
      <w:color w:val="800080" w:themeColor="followedHyperlink"/>
      <w:u w:val="single"/>
    </w:rPr>
  </w:style>
  <w:style w:type="paragraph" w:customStyle="1" w:styleId="FrontMatter">
    <w:name w:val="FrontMatter"/>
    <w:basedOn w:val="Normal"/>
    <w:rsid w:val="0093385D"/>
    <w:pPr>
      <w:spacing w:line="240" w:lineRule="auto"/>
      <w:jc w:val="center"/>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F74A22"/>
    <w:rPr>
      <w:i/>
      <w:iCs/>
      <w:color w:val="808080" w:themeColor="text1" w:themeTint="7F"/>
    </w:rPr>
  </w:style>
  <w:style w:type="character" w:customStyle="1" w:styleId="ti2">
    <w:name w:val="ti2"/>
    <w:rsid w:val="008212BB"/>
    <w:rPr>
      <w:sz w:val="22"/>
      <w:szCs w:val="22"/>
    </w:rPr>
  </w:style>
  <w:style w:type="paragraph" w:customStyle="1" w:styleId="authorgroup">
    <w:name w:val="authorgroup"/>
    <w:basedOn w:val="Normal"/>
    <w:rsid w:val="008212BB"/>
    <w:pPr>
      <w:spacing w:before="100" w:beforeAutospacing="1" w:after="100" w:afterAutospacing="1" w:line="240" w:lineRule="auto"/>
      <w:jc w:val="left"/>
    </w:pPr>
    <w:rPr>
      <w:rFonts w:ascii="Times New Roman" w:eastAsia="Times New Roman" w:hAnsi="Times New Roman" w:cs="Times New Roman"/>
      <w:b/>
      <w:bCs/>
      <w:sz w:val="24"/>
      <w:szCs w:val="24"/>
    </w:rPr>
  </w:style>
  <w:style w:type="paragraph" w:customStyle="1" w:styleId="affiliation1">
    <w:name w:val="affiliation1"/>
    <w:basedOn w:val="Normal"/>
    <w:rsid w:val="008212BB"/>
    <w:pPr>
      <w:spacing w:before="240" w:after="120" w:line="288" w:lineRule="atLeast"/>
      <w:ind w:left="120"/>
      <w:jc w:val="left"/>
    </w:pPr>
    <w:rPr>
      <w:rFonts w:ascii="Times New Roman" w:eastAsia="Times New Roman" w:hAnsi="Times New Roman" w:cs="Times New Roman"/>
      <w:sz w:val="19"/>
      <w:szCs w:val="19"/>
    </w:rPr>
  </w:style>
  <w:style w:type="character" w:customStyle="1" w:styleId="linkbar">
    <w:name w:val="linkbar"/>
    <w:basedOn w:val="DefaultParagraphFont"/>
    <w:rsid w:val="008212BB"/>
  </w:style>
  <w:style w:type="character" w:customStyle="1" w:styleId="abstractheading1">
    <w:name w:val="abstractheading1"/>
    <w:rsid w:val="008212BB"/>
    <w:rPr>
      <w:b/>
      <w:bCs/>
      <w:sz w:val="24"/>
      <w:szCs w:val="24"/>
    </w:rPr>
  </w:style>
  <w:style w:type="character" w:customStyle="1" w:styleId="caps">
    <w:name w:val="caps"/>
    <w:basedOn w:val="DefaultParagraphFont"/>
    <w:rsid w:val="008212BB"/>
  </w:style>
  <w:style w:type="character" w:customStyle="1" w:styleId="ui-ncbitoggler-master-text2">
    <w:name w:val="ui-ncbitoggler-master-text2"/>
    <w:basedOn w:val="DefaultParagraphFont"/>
    <w:rsid w:val="008212BB"/>
  </w:style>
  <w:style w:type="character" w:customStyle="1" w:styleId="txthidden1">
    <w:name w:val="txthidden1"/>
    <w:basedOn w:val="DefaultParagraphFont"/>
    <w:rsid w:val="008212BB"/>
  </w:style>
  <w:style w:type="character" w:customStyle="1" w:styleId="printhide">
    <w:name w:val="printhide"/>
    <w:basedOn w:val="DefaultParagraphFont"/>
    <w:rsid w:val="008212BB"/>
  </w:style>
  <w:style w:type="character" w:customStyle="1" w:styleId="scopuslogotxt">
    <w:name w:val="scopus_logo_txt"/>
    <w:basedOn w:val="DefaultParagraphFont"/>
    <w:rsid w:val="008212BB"/>
  </w:style>
  <w:style w:type="paragraph" w:styleId="z-TopofForm">
    <w:name w:val="HTML Top of Form"/>
    <w:basedOn w:val="Normal"/>
    <w:next w:val="Normal"/>
    <w:link w:val="z-TopofFormChar"/>
    <w:hidden/>
    <w:uiPriority w:val="99"/>
    <w:unhideWhenUsed/>
    <w:rsid w:val="008212BB"/>
    <w:pPr>
      <w:pBdr>
        <w:bottom w:val="single" w:sz="6" w:space="1" w:color="auto"/>
      </w:pBdr>
      <w:spacing w:line="240" w:lineRule="auto"/>
      <w:jc w:val="center"/>
    </w:pPr>
    <w:rPr>
      <w:rFonts w:ascii="Arial" w:eastAsia="Times New Roman" w:hAnsi="Arial" w:cs="Arial"/>
      <w:vanish/>
      <w:color w:val="000000"/>
      <w:sz w:val="16"/>
      <w:szCs w:val="16"/>
      <w:lang w:val="en-IN" w:eastAsia="en-IN"/>
    </w:rPr>
  </w:style>
  <w:style w:type="character" w:customStyle="1" w:styleId="z-TopofFormChar">
    <w:name w:val="z-Top of Form Char"/>
    <w:basedOn w:val="DefaultParagraphFont"/>
    <w:link w:val="z-TopofForm"/>
    <w:uiPriority w:val="99"/>
    <w:rsid w:val="008212BB"/>
    <w:rPr>
      <w:rFonts w:ascii="Arial" w:eastAsia="Times New Roman" w:hAnsi="Arial" w:cs="Arial"/>
      <w:vanish/>
      <w:color w:val="000000"/>
      <w:sz w:val="16"/>
      <w:szCs w:val="16"/>
      <w:lang w:val="en-IN" w:eastAsia="en-IN"/>
    </w:rPr>
  </w:style>
  <w:style w:type="paragraph" w:styleId="z-BottomofForm">
    <w:name w:val="HTML Bottom of Form"/>
    <w:basedOn w:val="Normal"/>
    <w:next w:val="Normal"/>
    <w:link w:val="z-BottomofFormChar"/>
    <w:hidden/>
    <w:uiPriority w:val="99"/>
    <w:unhideWhenUsed/>
    <w:rsid w:val="008212BB"/>
    <w:pPr>
      <w:pBdr>
        <w:top w:val="single" w:sz="6" w:space="1" w:color="auto"/>
      </w:pBdr>
      <w:spacing w:line="240" w:lineRule="auto"/>
      <w:jc w:val="center"/>
    </w:pPr>
    <w:rPr>
      <w:rFonts w:ascii="Arial" w:eastAsia="Times New Roman" w:hAnsi="Arial" w:cs="Arial"/>
      <w:vanish/>
      <w:color w:val="000000"/>
      <w:sz w:val="16"/>
      <w:szCs w:val="16"/>
      <w:lang w:val="en-IN" w:eastAsia="en-IN"/>
    </w:rPr>
  </w:style>
  <w:style w:type="character" w:customStyle="1" w:styleId="z-BottomofFormChar">
    <w:name w:val="z-Bottom of Form Char"/>
    <w:basedOn w:val="DefaultParagraphFont"/>
    <w:link w:val="z-BottomofForm"/>
    <w:uiPriority w:val="99"/>
    <w:rsid w:val="008212BB"/>
    <w:rPr>
      <w:rFonts w:ascii="Arial" w:eastAsia="Times New Roman" w:hAnsi="Arial" w:cs="Arial"/>
      <w:vanish/>
      <w:color w:val="000000"/>
      <w:sz w:val="16"/>
      <w:szCs w:val="16"/>
      <w:lang w:val="en-IN" w:eastAsia="en-IN"/>
    </w:rPr>
  </w:style>
  <w:style w:type="character" w:customStyle="1" w:styleId="nodefault">
    <w:name w:val="nodefault"/>
    <w:basedOn w:val="DefaultParagraphFont"/>
    <w:rsid w:val="008212BB"/>
  </w:style>
  <w:style w:type="character" w:customStyle="1" w:styleId="button-text3">
    <w:name w:val="button-text3"/>
    <w:basedOn w:val="DefaultParagraphFont"/>
    <w:rsid w:val="008212BB"/>
  </w:style>
  <w:style w:type="character" w:customStyle="1" w:styleId="add-to-library-buttons">
    <w:name w:val="add-to-library-buttons"/>
    <w:basedOn w:val="DefaultParagraphFont"/>
    <w:rsid w:val="008212BB"/>
  </w:style>
  <w:style w:type="character" w:customStyle="1" w:styleId="button-text6">
    <w:name w:val="button-text6"/>
    <w:basedOn w:val="DefaultParagraphFont"/>
    <w:rsid w:val="008212BB"/>
  </w:style>
  <w:style w:type="character" w:customStyle="1" w:styleId="container3">
    <w:name w:val="container3"/>
    <w:basedOn w:val="DefaultParagraphFont"/>
    <w:rsid w:val="008212BB"/>
  </w:style>
  <w:style w:type="character" w:customStyle="1" w:styleId="info5">
    <w:name w:val="info5"/>
    <w:basedOn w:val="DefaultParagraphFont"/>
    <w:rsid w:val="008212BB"/>
  </w:style>
  <w:style w:type="character" w:customStyle="1" w:styleId="volume">
    <w:name w:val="volume"/>
    <w:basedOn w:val="DefaultParagraphFont"/>
    <w:rsid w:val="008212BB"/>
  </w:style>
  <w:style w:type="character" w:customStyle="1" w:styleId="issue">
    <w:name w:val="issue"/>
    <w:basedOn w:val="DefaultParagraphFont"/>
    <w:rsid w:val="008212BB"/>
  </w:style>
  <w:style w:type="character" w:customStyle="1" w:styleId="identifier-type">
    <w:name w:val="identifier-type"/>
    <w:basedOn w:val="DefaultParagraphFont"/>
    <w:rsid w:val="008212BB"/>
  </w:style>
  <w:style w:type="character" w:customStyle="1" w:styleId="source-link">
    <w:name w:val="source-link"/>
    <w:basedOn w:val="DefaultParagraphFont"/>
    <w:rsid w:val="008212BB"/>
  </w:style>
  <w:style w:type="character" w:customStyle="1" w:styleId="openurl-or1">
    <w:name w:val="openurl-or1"/>
    <w:basedOn w:val="DefaultParagraphFont"/>
    <w:rsid w:val="008212BB"/>
  </w:style>
  <w:style w:type="character" w:customStyle="1" w:styleId="button-text9">
    <w:name w:val="button-text9"/>
    <w:basedOn w:val="DefaultParagraphFont"/>
    <w:rsid w:val="008212BB"/>
  </w:style>
  <w:style w:type="character" w:customStyle="1" w:styleId="authors4">
    <w:name w:val="authors4"/>
    <w:basedOn w:val="DefaultParagraphFont"/>
    <w:rsid w:val="008212BB"/>
  </w:style>
  <w:style w:type="character" w:customStyle="1" w:styleId="sep">
    <w:name w:val="sep"/>
    <w:basedOn w:val="DefaultParagraphFont"/>
    <w:rsid w:val="008212BB"/>
  </w:style>
  <w:style w:type="character" w:customStyle="1" w:styleId="publication">
    <w:name w:val="publication"/>
    <w:basedOn w:val="DefaultParagraphFont"/>
    <w:rsid w:val="008212BB"/>
  </w:style>
  <w:style w:type="character" w:customStyle="1" w:styleId="actions4">
    <w:name w:val="actions4"/>
    <w:basedOn w:val="DefaultParagraphFont"/>
    <w:rsid w:val="008212BB"/>
    <w:rPr>
      <w:rFonts w:ascii="Arial" w:hAnsi="Arial" w:cs="Arial" w:hint="default"/>
      <w:color w:val="666666"/>
      <w:sz w:val="17"/>
      <w:szCs w:val="17"/>
    </w:rPr>
  </w:style>
  <w:style w:type="character" w:customStyle="1" w:styleId="addlib1">
    <w:name w:val="addlib1"/>
    <w:basedOn w:val="DefaultParagraphFont"/>
    <w:rsid w:val="008212BB"/>
    <w:rPr>
      <w:shd w:val="clear" w:color="auto" w:fill="auto"/>
    </w:rPr>
  </w:style>
  <w:style w:type="character" w:customStyle="1" w:styleId="slug7">
    <w:name w:val="slug7"/>
    <w:basedOn w:val="DefaultParagraphFont"/>
    <w:rsid w:val="008212BB"/>
    <w:rPr>
      <w:color w:val="666666"/>
    </w:rPr>
  </w:style>
  <w:style w:type="character" w:customStyle="1" w:styleId="counts4">
    <w:name w:val="counts4"/>
    <w:basedOn w:val="DefaultParagraphFont"/>
    <w:rsid w:val="008212BB"/>
    <w:rPr>
      <w:rFonts w:ascii="Arial" w:hAnsi="Arial" w:cs="Arial" w:hint="default"/>
      <w:color w:val="666666"/>
      <w:sz w:val="17"/>
      <w:szCs w:val="17"/>
    </w:rPr>
  </w:style>
  <w:style w:type="character" w:customStyle="1" w:styleId="reader-count4">
    <w:name w:val="reader-count4"/>
    <w:basedOn w:val="DefaultParagraphFont"/>
    <w:rsid w:val="008212BB"/>
  </w:style>
  <w:style w:type="character" w:customStyle="1" w:styleId="doi">
    <w:name w:val="doi"/>
    <w:basedOn w:val="DefaultParagraphFont"/>
    <w:rsid w:val="008212BB"/>
  </w:style>
  <w:style w:type="character" w:customStyle="1" w:styleId="value">
    <w:name w:val="value"/>
    <w:basedOn w:val="DefaultParagraphFont"/>
    <w:rsid w:val="008212BB"/>
  </w:style>
  <w:style w:type="character" w:customStyle="1" w:styleId="label1">
    <w:name w:val="label1"/>
    <w:basedOn w:val="DefaultParagraphFont"/>
    <w:rsid w:val="008212BB"/>
  </w:style>
  <w:style w:type="character" w:customStyle="1" w:styleId="pagination">
    <w:name w:val="pagination"/>
    <w:basedOn w:val="DefaultParagraphFont"/>
    <w:rsid w:val="008212BB"/>
  </w:style>
  <w:style w:type="paragraph" w:customStyle="1" w:styleId="authors">
    <w:name w:val="authors"/>
    <w:basedOn w:val="Normal"/>
    <w:rsid w:val="008212BB"/>
    <w:pPr>
      <w:spacing w:before="100" w:beforeAutospacing="1" w:after="100" w:afterAutospacing="1" w:line="240" w:lineRule="auto"/>
      <w:jc w:val="left"/>
    </w:pPr>
    <w:rPr>
      <w:rFonts w:ascii="Times New Roman" w:eastAsia="Times New Roman" w:hAnsi="Times New Roman" w:cs="Times New Roman"/>
      <w:sz w:val="24"/>
      <w:szCs w:val="24"/>
      <w:lang w:val="en-IN" w:eastAsia="en-IN"/>
    </w:rPr>
  </w:style>
  <w:style w:type="paragraph" w:customStyle="1" w:styleId="hidden">
    <w:name w:val="hidden"/>
    <w:basedOn w:val="Normal"/>
    <w:rsid w:val="008212BB"/>
    <w:pPr>
      <w:spacing w:before="100" w:beforeAutospacing="1" w:after="100" w:afterAutospacing="1" w:line="240" w:lineRule="auto"/>
      <w:jc w:val="left"/>
    </w:pPr>
    <w:rPr>
      <w:rFonts w:ascii="Times New Roman" w:eastAsia="Times New Roman" w:hAnsi="Times New Roman" w:cs="Times New Roman"/>
      <w:sz w:val="24"/>
      <w:szCs w:val="24"/>
      <w:lang w:val="en-IN" w:eastAsia="en-IN"/>
    </w:rPr>
  </w:style>
  <w:style w:type="paragraph" w:customStyle="1" w:styleId="last">
    <w:name w:val="last"/>
    <w:basedOn w:val="Normal"/>
    <w:rsid w:val="008212BB"/>
    <w:pPr>
      <w:spacing w:before="100" w:beforeAutospacing="1" w:after="100" w:afterAutospacing="1" w:line="240" w:lineRule="auto"/>
      <w:jc w:val="left"/>
    </w:pPr>
    <w:rPr>
      <w:rFonts w:ascii="Times New Roman" w:eastAsia="Times New Roman" w:hAnsi="Times New Roman" w:cs="Times New Roman"/>
      <w:sz w:val="24"/>
      <w:szCs w:val="24"/>
      <w:lang w:val="en-IN" w:eastAsia="en-IN"/>
    </w:rPr>
  </w:style>
  <w:style w:type="character" w:customStyle="1" w:styleId="style11">
    <w:name w:val="style11"/>
    <w:basedOn w:val="DefaultParagraphFont"/>
    <w:rsid w:val="008212BB"/>
    <w:rPr>
      <w:color w:val="0859A6"/>
    </w:rPr>
  </w:style>
  <w:style w:type="character" w:customStyle="1" w:styleId="jlinkcaidan1">
    <w:name w:val="j_linkcaidan1"/>
    <w:basedOn w:val="DefaultParagraphFont"/>
    <w:rsid w:val="008212BB"/>
    <w:rPr>
      <w:rFonts w:ascii="Verdana" w:hAnsi="Verdana" w:hint="default"/>
      <w:b/>
      <w:bCs/>
      <w:color w:val="0000FF"/>
      <w:sz w:val="23"/>
      <w:szCs w:val="23"/>
    </w:rPr>
  </w:style>
  <w:style w:type="character" w:customStyle="1" w:styleId="jbiaoti1">
    <w:name w:val="j_biaoti1"/>
    <w:basedOn w:val="DefaultParagraphFont"/>
    <w:rsid w:val="008212BB"/>
    <w:rPr>
      <w:rFonts w:ascii="Verdana" w:hAnsi="Verdana" w:hint="default"/>
      <w:b/>
      <w:bCs/>
      <w:color w:val="4C634F"/>
      <w:sz w:val="30"/>
      <w:szCs w:val="30"/>
    </w:rPr>
  </w:style>
  <w:style w:type="numbering" w:customStyle="1" w:styleId="NoList1">
    <w:name w:val="No List1"/>
    <w:next w:val="NoList"/>
    <w:uiPriority w:val="99"/>
    <w:semiHidden/>
    <w:unhideWhenUsed/>
    <w:rsid w:val="006B282B"/>
  </w:style>
  <w:style w:type="table" w:customStyle="1" w:styleId="TableGrid1">
    <w:name w:val="Table Grid1"/>
    <w:basedOn w:val="TableNormal"/>
    <w:next w:val="TableGrid"/>
    <w:rsid w:val="006B282B"/>
    <w:pPr>
      <w:spacing w:line="240" w:lineRule="auto"/>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3">
    <w:name w:val="Light Shading3"/>
    <w:basedOn w:val="TableNormal"/>
    <w:uiPriority w:val="60"/>
    <w:rsid w:val="00B41EA4"/>
    <w:pPr>
      <w:spacing w:line="240" w:lineRule="auto"/>
      <w:jc w:val="left"/>
    </w:pPr>
    <w:rPr>
      <w:rFonts w:eastAsiaTheme="minorHAnsi"/>
      <w:color w:val="000000" w:themeColor="text1" w:themeShade="BF"/>
      <w:lang w:val="en-IN" w:eastAsia="en-I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rsid w:val="008D0637"/>
    <w:rPr>
      <w:rFonts w:ascii="Times New Roman" w:eastAsia="Times New Roman" w:hAnsi="Times New Roman" w:cs="Times New Roman"/>
      <w:b/>
      <w:bCs/>
    </w:rPr>
  </w:style>
  <w:style w:type="paragraph" w:styleId="BlockText">
    <w:name w:val="Block Text"/>
    <w:basedOn w:val="Normal"/>
    <w:rsid w:val="008D0637"/>
    <w:pPr>
      <w:ind w:left="144" w:right="144" w:firstLine="576"/>
    </w:pPr>
    <w:rPr>
      <w:rFonts w:ascii="Times New Roman" w:eastAsia="Arial Unicode MS" w:hAnsi="Times New Roman" w:cs="Times New Roman"/>
      <w:sz w:val="24"/>
      <w:szCs w:val="24"/>
    </w:rPr>
  </w:style>
  <w:style w:type="paragraph" w:customStyle="1" w:styleId="Normalbold">
    <w:name w:val="Normal+bold"/>
    <w:basedOn w:val="Normal"/>
    <w:rsid w:val="008D0637"/>
    <w:pPr>
      <w:ind w:right="144"/>
      <w:jc w:val="left"/>
    </w:pPr>
    <w:rPr>
      <w:rFonts w:ascii="Arial" w:eastAsia="Arial Unicode MS" w:hAnsi="Arial" w:cs="Arial"/>
      <w:b/>
      <w:i/>
      <w:sz w:val="24"/>
      <w:szCs w:val="24"/>
    </w:rPr>
  </w:style>
  <w:style w:type="paragraph" w:customStyle="1" w:styleId="NormalWeb6">
    <w:name w:val="Normal (Web)6"/>
    <w:basedOn w:val="Normal"/>
    <w:rsid w:val="008D0637"/>
    <w:pPr>
      <w:spacing w:line="336" w:lineRule="auto"/>
      <w:jc w:val="left"/>
    </w:pPr>
    <w:rPr>
      <w:rFonts w:ascii="Times New Roman" w:eastAsia="Times New Roman" w:hAnsi="Times New Roman" w:cs="Times New Roman"/>
      <w:sz w:val="24"/>
      <w:szCs w:val="24"/>
    </w:rPr>
  </w:style>
  <w:style w:type="character" w:customStyle="1" w:styleId="Char">
    <w:name w:val="Char"/>
    <w:rsid w:val="008D0637"/>
    <w:rPr>
      <w:rFonts w:ascii="Arial Unicode MS" w:eastAsia="Arial Unicode MS" w:hAnsi="Arial Unicode MS"/>
      <w:noProof w:val="0"/>
      <w:sz w:val="24"/>
      <w:lang w:val="en-US" w:eastAsia="en-US" w:bidi="ar-SA"/>
    </w:rPr>
  </w:style>
  <w:style w:type="paragraph" w:customStyle="1" w:styleId="NormalWeb3">
    <w:name w:val="Normal (Web)3"/>
    <w:basedOn w:val="Normal"/>
    <w:rsid w:val="008D0637"/>
    <w:pPr>
      <w:spacing w:before="120" w:line="240" w:lineRule="atLeast"/>
      <w:jc w:val="left"/>
    </w:pPr>
    <w:rPr>
      <w:rFonts w:ascii="Verdana" w:eastAsia="Times New Roman" w:hAnsi="Verdana" w:cs="Times New Roman"/>
      <w:color w:val="000000"/>
      <w:sz w:val="20"/>
      <w:szCs w:val="20"/>
    </w:rPr>
  </w:style>
  <w:style w:type="paragraph" w:customStyle="1" w:styleId="NormalblackJustified">
    <w:name w:val="Normal +black+ Justified"/>
    <w:aliases w:val="Line spacing:  1.5 lines"/>
    <w:basedOn w:val="Normal"/>
    <w:rsid w:val="008D0637"/>
    <w:pPr>
      <w:numPr>
        <w:numId w:val="2"/>
      </w:numPr>
      <w:tabs>
        <w:tab w:val="clear" w:pos="540"/>
      </w:tabs>
      <w:spacing w:after="160"/>
      <w:ind w:hanging="540"/>
    </w:pPr>
    <w:rPr>
      <w:rFonts w:ascii="Times New Roman" w:eastAsia="Times New Roman" w:hAnsi="Times New Roman" w:cs="Times New Roman"/>
      <w:sz w:val="24"/>
      <w:szCs w:val="24"/>
    </w:rPr>
  </w:style>
  <w:style w:type="paragraph" w:customStyle="1" w:styleId="Normal16">
    <w:name w:val="Normal+16"/>
    <w:basedOn w:val="Default"/>
    <w:next w:val="Default"/>
    <w:uiPriority w:val="99"/>
    <w:rsid w:val="008D0637"/>
    <w:pPr>
      <w:jc w:val="left"/>
    </w:pPr>
    <w:rPr>
      <w:rFonts w:eastAsia="Times New Roman"/>
      <w:color w:val="auto"/>
      <w:lang w:val="en-GB" w:eastAsia="en-GB"/>
    </w:rPr>
  </w:style>
  <w:style w:type="paragraph" w:customStyle="1" w:styleId="Noramal">
    <w:name w:val="Noramal"/>
    <w:basedOn w:val="Normal"/>
    <w:link w:val="NoramalChar"/>
    <w:rsid w:val="008D0637"/>
    <w:pPr>
      <w:jc w:val="left"/>
    </w:pPr>
    <w:rPr>
      <w:rFonts w:ascii="Times New Roman" w:eastAsia="Times New Roman" w:hAnsi="Times New Roman" w:cs="Times New Roman"/>
      <w:b/>
      <w:bCs/>
      <w:sz w:val="24"/>
      <w:szCs w:val="24"/>
    </w:rPr>
  </w:style>
  <w:style w:type="character" w:customStyle="1" w:styleId="NoramalChar">
    <w:name w:val="Noramal Char"/>
    <w:basedOn w:val="DefaultParagraphFont"/>
    <w:link w:val="Noramal"/>
    <w:rsid w:val="008D0637"/>
    <w:rPr>
      <w:rFonts w:ascii="Times New Roman" w:eastAsia="Times New Roman" w:hAnsi="Times New Roman" w:cs="Times New Roman"/>
      <w:b/>
      <w:bCs/>
      <w:sz w:val="24"/>
      <w:szCs w:val="24"/>
    </w:rPr>
  </w:style>
  <w:style w:type="character" w:customStyle="1" w:styleId="printonly">
    <w:name w:val="printonly"/>
    <w:basedOn w:val="DefaultParagraphFont"/>
    <w:rsid w:val="004E119E"/>
  </w:style>
  <w:style w:type="character" w:customStyle="1" w:styleId="redchapter">
    <w:name w:val="red_chapter"/>
    <w:rsid w:val="00DE7ED8"/>
  </w:style>
  <w:style w:type="character" w:customStyle="1" w:styleId="artpages">
    <w:name w:val="art_pages"/>
    <w:rsid w:val="00DE7ED8"/>
  </w:style>
  <w:style w:type="character" w:customStyle="1" w:styleId="ref-journal">
    <w:name w:val="ref-journal"/>
    <w:rsid w:val="00DE7ED8"/>
  </w:style>
  <w:style w:type="character" w:customStyle="1" w:styleId="ref-vol">
    <w:name w:val="ref-vol"/>
    <w:rsid w:val="00DE7ED8"/>
  </w:style>
  <w:style w:type="character" w:customStyle="1" w:styleId="A0">
    <w:name w:val="A0"/>
    <w:uiPriority w:val="99"/>
    <w:rsid w:val="006965CD"/>
    <w:rPr>
      <w:rFonts w:cs="HelveticaNeueLT Std Med Ext"/>
      <w:b/>
      <w:bCs/>
      <w:color w:val="000000"/>
      <w:sz w:val="28"/>
      <w:szCs w:val="28"/>
    </w:rPr>
  </w:style>
  <w:style w:type="character" w:customStyle="1" w:styleId="A3">
    <w:name w:val="A3"/>
    <w:uiPriority w:val="99"/>
    <w:rsid w:val="006965CD"/>
    <w:rPr>
      <w:rFonts w:cs="HelveticaNeueLT Std Cn"/>
      <w:color w:val="000000"/>
      <w:sz w:val="16"/>
      <w:szCs w:val="16"/>
    </w:rPr>
  </w:style>
  <w:style w:type="table" w:customStyle="1" w:styleId="LightShading4">
    <w:name w:val="Light Shading4"/>
    <w:basedOn w:val="TableNormal"/>
    <w:uiPriority w:val="60"/>
    <w:rsid w:val="00B72F83"/>
    <w:pPr>
      <w:spacing w:line="240" w:lineRule="auto"/>
      <w:jc w:val="left"/>
    </w:pPr>
    <w:rPr>
      <w:rFonts w:eastAsiaTheme="minorHAnsi"/>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2">
    <w:name w:val="No List2"/>
    <w:next w:val="NoList"/>
    <w:uiPriority w:val="99"/>
    <w:semiHidden/>
    <w:unhideWhenUsed/>
    <w:rsid w:val="006A4D6B"/>
  </w:style>
  <w:style w:type="table" w:customStyle="1" w:styleId="TableGrid2">
    <w:name w:val="Table Grid2"/>
    <w:basedOn w:val="TableNormal"/>
    <w:next w:val="TableGrid"/>
    <w:uiPriority w:val="59"/>
    <w:rsid w:val="006A4D6B"/>
    <w:pPr>
      <w:spacing w:line="240" w:lineRule="auto"/>
      <w:jc w:val="left"/>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aintitle">
    <w:name w:val="maintitle"/>
    <w:basedOn w:val="DefaultParagraphFont"/>
    <w:rsid w:val="006A4D6B"/>
  </w:style>
  <w:style w:type="character" w:customStyle="1" w:styleId="A1">
    <w:name w:val="A1"/>
    <w:uiPriority w:val="99"/>
    <w:rsid w:val="00B3556D"/>
    <w:rPr>
      <w:rFonts w:ascii="Adobe Jenson Pro" w:hAnsi="Adobe Jenson Pro" w:cs="Adobe Jenson Pro" w:hint="default"/>
      <w:color w:val="000000"/>
      <w:sz w:val="16"/>
      <w:szCs w:val="16"/>
    </w:rPr>
  </w:style>
  <w:style w:type="paragraph" w:customStyle="1" w:styleId="CommentSubject1">
    <w:name w:val="Comment Subject1"/>
    <w:basedOn w:val="CommentText"/>
    <w:next w:val="CommentText"/>
    <w:rsid w:val="00372814"/>
    <w:pPr>
      <w:spacing w:after="200"/>
      <w:jc w:val="left"/>
    </w:pPr>
    <w:rPr>
      <w:rFonts w:cs="Arial"/>
      <w:b/>
      <w:bCs/>
    </w:rPr>
  </w:style>
  <w:style w:type="table" w:customStyle="1" w:styleId="LightShading5">
    <w:name w:val="Light Shading5"/>
    <w:basedOn w:val="TableNormal"/>
    <w:uiPriority w:val="60"/>
    <w:rsid w:val="001B5859"/>
    <w:pPr>
      <w:spacing w:line="240" w:lineRule="auto"/>
      <w:jc w:val="left"/>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22">
    <w:name w:val="Heading 22"/>
    <w:basedOn w:val="Normal"/>
    <w:uiPriority w:val="99"/>
    <w:rsid w:val="007552C0"/>
    <w:pPr>
      <w:spacing w:line="240" w:lineRule="auto"/>
      <w:jc w:val="left"/>
      <w:outlineLvl w:val="2"/>
    </w:pPr>
    <w:rPr>
      <w:rFonts w:ascii="Arial" w:eastAsia="Times New Roman" w:hAnsi="Arial" w:cs="Arial"/>
      <w:b/>
      <w:bCs/>
      <w:color w:val="336699"/>
      <w:sz w:val="19"/>
      <w:szCs w:val="19"/>
    </w:rPr>
  </w:style>
  <w:style w:type="character" w:customStyle="1" w:styleId="fn">
    <w:name w:val="fn"/>
    <w:basedOn w:val="DefaultParagraphFont"/>
    <w:rsid w:val="00A462EA"/>
  </w:style>
  <w:style w:type="character" w:customStyle="1" w:styleId="jnl-title">
    <w:name w:val="jnl-title"/>
    <w:basedOn w:val="DefaultParagraphFont"/>
    <w:rsid w:val="00A462EA"/>
  </w:style>
  <w:style w:type="character" w:customStyle="1" w:styleId="binomial">
    <w:name w:val="binomial"/>
    <w:basedOn w:val="DefaultParagraphFont"/>
    <w:rsid w:val="00C139C3"/>
  </w:style>
  <w:style w:type="table" w:customStyle="1" w:styleId="TableGrid0">
    <w:name w:val="TableGrid"/>
    <w:rsid w:val="009B7C48"/>
    <w:pPr>
      <w:spacing w:line="240" w:lineRule="auto"/>
      <w:jc w:val="left"/>
    </w:pPr>
    <w:rPr>
      <w:kern w:val="2"/>
    </w:rPr>
    <w:tblPr>
      <w:tblCellMar>
        <w:top w:w="0" w:type="dxa"/>
        <w:left w:w="0" w:type="dxa"/>
        <w:bottom w:w="0" w:type="dxa"/>
        <w:right w:w="0" w:type="dxa"/>
      </w:tblCellMar>
    </w:tblPr>
  </w:style>
  <w:style w:type="paragraph" w:customStyle="1" w:styleId="NormalBold0">
    <w:name w:val="Normal+ Bold"/>
    <w:basedOn w:val="NormalWeb"/>
    <w:rsid w:val="009C2DDB"/>
    <w:rPr>
      <w:b/>
      <w:bCs/>
    </w:rPr>
  </w:style>
  <w:style w:type="character" w:customStyle="1" w:styleId="journalname">
    <w:name w:val="journalname"/>
    <w:basedOn w:val="DefaultParagraphFont"/>
    <w:rsid w:val="004D0E2D"/>
  </w:style>
  <w:style w:type="character" w:customStyle="1" w:styleId="journalnumber">
    <w:name w:val="journalnumber"/>
    <w:basedOn w:val="DefaultParagraphFont"/>
    <w:rsid w:val="004D0E2D"/>
  </w:style>
  <w:style w:type="character" w:customStyle="1" w:styleId="cite-pages">
    <w:name w:val="cite-pages"/>
    <w:basedOn w:val="DefaultParagraphFont"/>
    <w:rsid w:val="004D0E2D"/>
  </w:style>
  <w:style w:type="character" w:customStyle="1" w:styleId="cite-month-year">
    <w:name w:val="cite-month-year"/>
    <w:basedOn w:val="DefaultParagraphFont"/>
    <w:rsid w:val="004D0E2D"/>
  </w:style>
  <w:style w:type="character" w:customStyle="1" w:styleId="divider">
    <w:name w:val="divider"/>
    <w:basedOn w:val="DefaultParagraphFont"/>
    <w:rsid w:val="004D0E2D"/>
  </w:style>
  <w:style w:type="paragraph" w:customStyle="1" w:styleId="articledetails">
    <w:name w:val="articledetails"/>
    <w:basedOn w:val="Normal"/>
    <w:rsid w:val="004D0E2D"/>
    <w:pPr>
      <w:spacing w:before="100" w:beforeAutospacing="1" w:after="100" w:afterAutospacing="1" w:line="240" w:lineRule="auto"/>
      <w:jc w:val="left"/>
    </w:pPr>
    <w:rPr>
      <w:rFonts w:ascii="Times New Roman" w:eastAsia="Times New Roman" w:hAnsi="Times New Roman" w:cs="Times New Roman"/>
      <w:sz w:val="24"/>
      <w:szCs w:val="24"/>
      <w:lang w:eastAsia="en-IN"/>
    </w:rPr>
  </w:style>
  <w:style w:type="character" w:customStyle="1" w:styleId="fm-vol-iss-date">
    <w:name w:val="fm-vol-iss-date"/>
    <w:basedOn w:val="DefaultParagraphFont"/>
    <w:rsid w:val="004D0E2D"/>
  </w:style>
  <w:style w:type="character" w:customStyle="1" w:styleId="reference-text">
    <w:name w:val="reference-text"/>
    <w:basedOn w:val="DefaultParagraphFont"/>
    <w:rsid w:val="004D0E2D"/>
  </w:style>
  <w:style w:type="paragraph" w:customStyle="1" w:styleId="TextStyle">
    <w:name w:val="TextStyle"/>
    <w:basedOn w:val="Normal"/>
    <w:rsid w:val="004F22B4"/>
    <w:pPr>
      <w:overflowPunct w:val="0"/>
      <w:autoSpaceDE w:val="0"/>
      <w:autoSpaceDN w:val="0"/>
      <w:adjustRightInd w:val="0"/>
      <w:spacing w:line="480" w:lineRule="auto"/>
      <w:ind w:firstLine="708"/>
      <w:textAlignment w:val="baseline"/>
    </w:pPr>
    <w:rPr>
      <w:rFonts w:ascii="Times New Roman" w:eastAsia="Times New Roman" w:hAnsi="Times New Roman" w:cs="Times New Roman"/>
      <w:sz w:val="24"/>
      <w:szCs w:val="20"/>
      <w:lang w:val="en-GB"/>
    </w:rPr>
  </w:style>
  <w:style w:type="character" w:customStyle="1" w:styleId="Keywords-text">
    <w:name w:val="Keywords - text"/>
    <w:rsid w:val="004F22B4"/>
    <w:rPr>
      <w:rFonts w:ascii="Arial" w:hAnsi="Arial"/>
      <w:i/>
      <w:color w:val="000000"/>
      <w:sz w:val="14"/>
      <w:szCs w:val="16"/>
    </w:rPr>
  </w:style>
  <w:style w:type="character" w:customStyle="1" w:styleId="text">
    <w:name w:val="text"/>
    <w:rsid w:val="004F22B4"/>
    <w:rPr>
      <w:rFonts w:ascii="Arial" w:hAnsi="Arial"/>
      <w:color w:val="000000"/>
      <w:sz w:val="18"/>
      <w:szCs w:val="18"/>
    </w:rPr>
  </w:style>
  <w:style w:type="paragraph" w:styleId="TableofFigures">
    <w:name w:val="table of figures"/>
    <w:basedOn w:val="Normal"/>
    <w:next w:val="Normal"/>
    <w:uiPriority w:val="99"/>
    <w:semiHidden/>
    <w:unhideWhenUsed/>
    <w:rsid w:val="00E32728"/>
    <w:pPr>
      <w:spacing w:line="276" w:lineRule="auto"/>
      <w:jc w:val="left"/>
    </w:pPr>
    <w:rPr>
      <w:lang w:val="en-IN" w:eastAsia="en-IN"/>
    </w:rPr>
  </w:style>
  <w:style w:type="character" w:customStyle="1" w:styleId="citationyear">
    <w:name w:val="citation_year"/>
    <w:basedOn w:val="DefaultParagraphFont"/>
    <w:rsid w:val="00D60286"/>
  </w:style>
  <w:style w:type="character" w:customStyle="1" w:styleId="citationvolume">
    <w:name w:val="citation_volume"/>
    <w:basedOn w:val="DefaultParagraphFont"/>
    <w:rsid w:val="00D60286"/>
  </w:style>
  <w:style w:type="character" w:customStyle="1" w:styleId="authorlink">
    <w:name w:val="author_link"/>
    <w:basedOn w:val="DefaultParagraphFont"/>
    <w:rsid w:val="00D60286"/>
  </w:style>
  <w:style w:type="paragraph" w:customStyle="1" w:styleId="Makale">
    <w:name w:val="Makale"/>
    <w:basedOn w:val="Normal"/>
    <w:next w:val="Normal"/>
    <w:uiPriority w:val="99"/>
    <w:rsid w:val="00E072C0"/>
    <w:pPr>
      <w:autoSpaceDE w:val="0"/>
      <w:autoSpaceDN w:val="0"/>
      <w:adjustRightInd w:val="0"/>
      <w:spacing w:line="240" w:lineRule="auto"/>
      <w:jc w:val="left"/>
    </w:pPr>
    <w:rPr>
      <w:rFonts w:ascii="AMEINH+TimesNewRoman" w:eastAsiaTheme="minorHAnsi" w:hAnsi="AMEINH+TimesNewRoman"/>
      <w:sz w:val="24"/>
      <w:szCs w:val="24"/>
    </w:rPr>
  </w:style>
  <w:style w:type="paragraph" w:customStyle="1" w:styleId="svarticle">
    <w:name w:val="svarticle"/>
    <w:basedOn w:val="Normal"/>
    <w:rsid w:val="005F1CB3"/>
    <w:pPr>
      <w:spacing w:before="100" w:beforeAutospacing="1" w:after="100" w:afterAutospacing="1" w:line="240" w:lineRule="auto"/>
      <w:jc w:val="left"/>
    </w:pPr>
    <w:rPr>
      <w:rFonts w:ascii="Times New Roman" w:eastAsia="Times New Roman" w:hAnsi="Times New Roman" w:cs="Times New Roman"/>
      <w:sz w:val="24"/>
      <w:szCs w:val="24"/>
      <w:lang w:val="en-IN" w:eastAsia="en-MY" w:bidi="ta-IN"/>
    </w:rPr>
  </w:style>
  <w:style w:type="character" w:customStyle="1" w:styleId="ListParagraphChar">
    <w:name w:val="List Paragraph Char"/>
    <w:basedOn w:val="DefaultParagraphFont"/>
    <w:link w:val="ListParagraph"/>
    <w:uiPriority w:val="34"/>
    <w:rsid w:val="00056711"/>
  </w:style>
  <w:style w:type="character" w:customStyle="1" w:styleId="cit-auth2">
    <w:name w:val="cit-auth2"/>
    <w:basedOn w:val="DefaultParagraphFont"/>
    <w:uiPriority w:val="99"/>
    <w:rsid w:val="00E56ADC"/>
  </w:style>
  <w:style w:type="character" w:customStyle="1" w:styleId="cit-sepcit-sep-separator">
    <w:name w:val="cit-sep cit-sep-separator"/>
    <w:basedOn w:val="DefaultParagraphFont"/>
    <w:uiPriority w:val="99"/>
    <w:rsid w:val="00E56ADC"/>
  </w:style>
  <w:style w:type="character" w:customStyle="1" w:styleId="cit-sepcit-sep-last-separator">
    <w:name w:val="cit-sep cit-sep-last-separator"/>
    <w:basedOn w:val="DefaultParagraphFont"/>
    <w:uiPriority w:val="99"/>
    <w:rsid w:val="00E56ADC"/>
  </w:style>
  <w:style w:type="character" w:customStyle="1" w:styleId="site-title">
    <w:name w:val="site-title"/>
    <w:basedOn w:val="DefaultParagraphFont"/>
    <w:uiPriority w:val="99"/>
    <w:rsid w:val="00E56ADC"/>
  </w:style>
  <w:style w:type="character" w:customStyle="1" w:styleId="cit-sepcit-sep-after-article-vol">
    <w:name w:val="cit-sep cit-sep-after-article-vol"/>
    <w:basedOn w:val="DefaultParagraphFont"/>
    <w:uiPriority w:val="99"/>
    <w:rsid w:val="00E56ADC"/>
  </w:style>
  <w:style w:type="character" w:customStyle="1" w:styleId="cit-sep2">
    <w:name w:val="cit-sep2"/>
    <w:basedOn w:val="DefaultParagraphFont"/>
    <w:uiPriority w:val="99"/>
    <w:rsid w:val="00E56ADC"/>
  </w:style>
  <w:style w:type="character" w:customStyle="1" w:styleId="cit-sepcit-sep-after-article-pages">
    <w:name w:val="cit-sep cit-sep-after-article-pages"/>
    <w:basedOn w:val="DefaultParagraphFont"/>
    <w:uiPriority w:val="99"/>
    <w:rsid w:val="00E56ADC"/>
  </w:style>
  <w:style w:type="paragraph" w:customStyle="1" w:styleId="authlist">
    <w:name w:val="auth_list"/>
    <w:basedOn w:val="Normal"/>
    <w:uiPriority w:val="99"/>
    <w:rsid w:val="00E56AD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rprtbody1">
    <w:name w:val="rprtbody1"/>
    <w:basedOn w:val="Normal"/>
    <w:uiPriority w:val="99"/>
    <w:rsid w:val="00E56ADC"/>
    <w:pPr>
      <w:spacing w:before="34" w:after="34" w:line="240" w:lineRule="auto"/>
      <w:jc w:val="left"/>
    </w:pPr>
    <w:rPr>
      <w:rFonts w:ascii="Times New Roman" w:eastAsia="Times New Roman" w:hAnsi="Times New Roman" w:cs="Times New Roman"/>
      <w:sz w:val="28"/>
      <w:szCs w:val="28"/>
    </w:rPr>
  </w:style>
  <w:style w:type="character" w:customStyle="1" w:styleId="src1">
    <w:name w:val="src1"/>
    <w:basedOn w:val="DefaultParagraphFont"/>
    <w:uiPriority w:val="99"/>
    <w:rsid w:val="00E56ADC"/>
  </w:style>
  <w:style w:type="paragraph" w:customStyle="1" w:styleId="rprtbody">
    <w:name w:val="rprtbody"/>
    <w:basedOn w:val="Normal"/>
    <w:uiPriority w:val="99"/>
    <w:rsid w:val="00E56ADC"/>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src">
    <w:name w:val="src"/>
    <w:basedOn w:val="DefaultParagraphFont"/>
    <w:uiPriority w:val="99"/>
    <w:rsid w:val="00E56ADC"/>
  </w:style>
  <w:style w:type="character" w:customStyle="1" w:styleId="a">
    <w:name w:val="a"/>
    <w:basedOn w:val="DefaultParagraphFont"/>
    <w:rsid w:val="00E56ADC"/>
  </w:style>
  <w:style w:type="character" w:customStyle="1" w:styleId="l6">
    <w:name w:val="l6"/>
    <w:basedOn w:val="DefaultParagraphFont"/>
    <w:rsid w:val="00E56ADC"/>
  </w:style>
  <w:style w:type="character" w:customStyle="1" w:styleId="l7">
    <w:name w:val="l7"/>
    <w:basedOn w:val="DefaultParagraphFont"/>
    <w:rsid w:val="00E56ADC"/>
  </w:style>
  <w:style w:type="character" w:customStyle="1" w:styleId="gc-replacement">
    <w:name w:val="gc-replacement"/>
    <w:basedOn w:val="DefaultParagraphFont"/>
    <w:rsid w:val="00367B77"/>
  </w:style>
  <w:style w:type="character" w:customStyle="1" w:styleId="sw">
    <w:name w:val="sw"/>
    <w:basedOn w:val="DefaultParagraphFont"/>
    <w:rsid w:val="00367B77"/>
  </w:style>
  <w:style w:type="paragraph" w:styleId="Bibliography">
    <w:name w:val="Bibliography"/>
    <w:basedOn w:val="Normal"/>
    <w:next w:val="Normal"/>
    <w:uiPriority w:val="37"/>
    <w:semiHidden/>
    <w:unhideWhenUsed/>
    <w:rsid w:val="00F05C95"/>
  </w:style>
  <w:style w:type="character" w:styleId="UnresolvedMention">
    <w:name w:val="Unresolved Mention"/>
    <w:basedOn w:val="DefaultParagraphFont"/>
    <w:uiPriority w:val="99"/>
    <w:semiHidden/>
    <w:unhideWhenUsed/>
    <w:rsid w:val="007E10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442682">
      <w:bodyDiv w:val="1"/>
      <w:marLeft w:val="0"/>
      <w:marRight w:val="0"/>
      <w:marTop w:val="0"/>
      <w:marBottom w:val="0"/>
      <w:divBdr>
        <w:top w:val="none" w:sz="0" w:space="0" w:color="auto"/>
        <w:left w:val="none" w:sz="0" w:space="0" w:color="auto"/>
        <w:bottom w:val="none" w:sz="0" w:space="0" w:color="auto"/>
        <w:right w:val="none" w:sz="0" w:space="0" w:color="auto"/>
      </w:divBdr>
    </w:div>
    <w:div w:id="342633706">
      <w:bodyDiv w:val="1"/>
      <w:marLeft w:val="0"/>
      <w:marRight w:val="0"/>
      <w:marTop w:val="0"/>
      <w:marBottom w:val="0"/>
      <w:divBdr>
        <w:top w:val="none" w:sz="0" w:space="0" w:color="auto"/>
        <w:left w:val="none" w:sz="0" w:space="0" w:color="auto"/>
        <w:bottom w:val="none" w:sz="0" w:space="0" w:color="auto"/>
        <w:right w:val="none" w:sz="0" w:space="0" w:color="auto"/>
      </w:divBdr>
    </w:div>
    <w:div w:id="731857112">
      <w:bodyDiv w:val="1"/>
      <w:marLeft w:val="0"/>
      <w:marRight w:val="0"/>
      <w:marTop w:val="0"/>
      <w:marBottom w:val="0"/>
      <w:divBdr>
        <w:top w:val="none" w:sz="0" w:space="0" w:color="auto"/>
        <w:left w:val="none" w:sz="0" w:space="0" w:color="auto"/>
        <w:bottom w:val="none" w:sz="0" w:space="0" w:color="auto"/>
        <w:right w:val="none" w:sz="0" w:space="0" w:color="auto"/>
      </w:divBdr>
    </w:div>
    <w:div w:id="834492336">
      <w:bodyDiv w:val="1"/>
      <w:marLeft w:val="0"/>
      <w:marRight w:val="0"/>
      <w:marTop w:val="0"/>
      <w:marBottom w:val="0"/>
      <w:divBdr>
        <w:top w:val="none" w:sz="0" w:space="0" w:color="auto"/>
        <w:left w:val="none" w:sz="0" w:space="0" w:color="auto"/>
        <w:bottom w:val="none" w:sz="0" w:space="0" w:color="auto"/>
        <w:right w:val="none" w:sz="0" w:space="0" w:color="auto"/>
      </w:divBdr>
    </w:div>
    <w:div w:id="949512299">
      <w:bodyDiv w:val="1"/>
      <w:marLeft w:val="0"/>
      <w:marRight w:val="0"/>
      <w:marTop w:val="0"/>
      <w:marBottom w:val="0"/>
      <w:divBdr>
        <w:top w:val="none" w:sz="0" w:space="0" w:color="auto"/>
        <w:left w:val="none" w:sz="0" w:space="0" w:color="auto"/>
        <w:bottom w:val="none" w:sz="0" w:space="0" w:color="auto"/>
        <w:right w:val="none" w:sz="0" w:space="0" w:color="auto"/>
      </w:divBdr>
    </w:div>
    <w:div w:id="1110710523">
      <w:bodyDiv w:val="1"/>
      <w:marLeft w:val="0"/>
      <w:marRight w:val="0"/>
      <w:marTop w:val="0"/>
      <w:marBottom w:val="0"/>
      <w:divBdr>
        <w:top w:val="none" w:sz="0" w:space="0" w:color="auto"/>
        <w:left w:val="none" w:sz="0" w:space="0" w:color="auto"/>
        <w:bottom w:val="none" w:sz="0" w:space="0" w:color="auto"/>
        <w:right w:val="none" w:sz="0" w:space="0" w:color="auto"/>
      </w:divBdr>
    </w:div>
    <w:div w:id="1192109573">
      <w:bodyDiv w:val="1"/>
      <w:marLeft w:val="0"/>
      <w:marRight w:val="0"/>
      <w:marTop w:val="0"/>
      <w:marBottom w:val="0"/>
      <w:divBdr>
        <w:top w:val="none" w:sz="0" w:space="0" w:color="auto"/>
        <w:left w:val="none" w:sz="0" w:space="0" w:color="auto"/>
        <w:bottom w:val="none" w:sz="0" w:space="0" w:color="auto"/>
        <w:right w:val="none" w:sz="0" w:space="0" w:color="auto"/>
      </w:divBdr>
    </w:div>
    <w:div w:id="1282423446">
      <w:bodyDiv w:val="1"/>
      <w:marLeft w:val="0"/>
      <w:marRight w:val="0"/>
      <w:marTop w:val="0"/>
      <w:marBottom w:val="0"/>
      <w:divBdr>
        <w:top w:val="none" w:sz="0" w:space="0" w:color="auto"/>
        <w:left w:val="none" w:sz="0" w:space="0" w:color="auto"/>
        <w:bottom w:val="none" w:sz="0" w:space="0" w:color="auto"/>
        <w:right w:val="none" w:sz="0" w:space="0" w:color="auto"/>
      </w:divBdr>
    </w:div>
    <w:div w:id="1566725330">
      <w:bodyDiv w:val="1"/>
      <w:marLeft w:val="0"/>
      <w:marRight w:val="0"/>
      <w:marTop w:val="0"/>
      <w:marBottom w:val="0"/>
      <w:divBdr>
        <w:top w:val="none" w:sz="0" w:space="0" w:color="auto"/>
        <w:left w:val="none" w:sz="0" w:space="0" w:color="auto"/>
        <w:bottom w:val="none" w:sz="0" w:space="0" w:color="auto"/>
        <w:right w:val="none" w:sz="0" w:space="0" w:color="auto"/>
      </w:divBdr>
    </w:div>
    <w:div w:id="1657294822">
      <w:bodyDiv w:val="1"/>
      <w:marLeft w:val="0"/>
      <w:marRight w:val="0"/>
      <w:marTop w:val="0"/>
      <w:marBottom w:val="0"/>
      <w:divBdr>
        <w:top w:val="none" w:sz="0" w:space="0" w:color="auto"/>
        <w:left w:val="none" w:sz="0" w:space="0" w:color="auto"/>
        <w:bottom w:val="none" w:sz="0" w:space="0" w:color="auto"/>
        <w:right w:val="none" w:sz="0" w:space="0" w:color="auto"/>
      </w:divBdr>
    </w:div>
    <w:div w:id="1764373624">
      <w:bodyDiv w:val="1"/>
      <w:marLeft w:val="0"/>
      <w:marRight w:val="0"/>
      <w:marTop w:val="0"/>
      <w:marBottom w:val="0"/>
      <w:divBdr>
        <w:top w:val="none" w:sz="0" w:space="0" w:color="auto"/>
        <w:left w:val="none" w:sz="0" w:space="0" w:color="auto"/>
        <w:bottom w:val="none" w:sz="0" w:space="0" w:color="auto"/>
        <w:right w:val="none" w:sz="0" w:space="0" w:color="auto"/>
      </w:divBdr>
    </w:div>
    <w:div w:id="1843931629">
      <w:bodyDiv w:val="1"/>
      <w:marLeft w:val="0"/>
      <w:marRight w:val="0"/>
      <w:marTop w:val="0"/>
      <w:marBottom w:val="0"/>
      <w:divBdr>
        <w:top w:val="none" w:sz="0" w:space="0" w:color="auto"/>
        <w:left w:val="none" w:sz="0" w:space="0" w:color="auto"/>
        <w:bottom w:val="none" w:sz="0" w:space="0" w:color="auto"/>
        <w:right w:val="none" w:sz="0" w:space="0" w:color="auto"/>
      </w:divBdr>
    </w:div>
    <w:div w:id="1849522773">
      <w:bodyDiv w:val="1"/>
      <w:marLeft w:val="0"/>
      <w:marRight w:val="0"/>
      <w:marTop w:val="0"/>
      <w:marBottom w:val="0"/>
      <w:divBdr>
        <w:top w:val="none" w:sz="0" w:space="0" w:color="auto"/>
        <w:left w:val="none" w:sz="0" w:space="0" w:color="auto"/>
        <w:bottom w:val="none" w:sz="0" w:space="0" w:color="auto"/>
        <w:right w:val="none" w:sz="0" w:space="0" w:color="auto"/>
      </w:divBdr>
    </w:div>
    <w:div w:id="2003656897">
      <w:bodyDiv w:val="1"/>
      <w:marLeft w:val="0"/>
      <w:marRight w:val="0"/>
      <w:marTop w:val="0"/>
      <w:marBottom w:val="0"/>
      <w:divBdr>
        <w:top w:val="none" w:sz="0" w:space="0" w:color="auto"/>
        <w:left w:val="none" w:sz="0" w:space="0" w:color="auto"/>
        <w:bottom w:val="none" w:sz="0" w:space="0" w:color="auto"/>
        <w:right w:val="none" w:sz="0" w:space="0" w:color="auto"/>
      </w:divBdr>
    </w:div>
    <w:div w:id="209486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jptr.com/"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editor@ajptr.com"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editor@ajpt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jpt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jpt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44C800C-9EDE-44B2-9863-67A3EB5D7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32</Pages>
  <Words>12271</Words>
  <Characters>69946</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bhabha</dc:creator>
  <cp:lastModifiedBy>Admin</cp:lastModifiedBy>
  <cp:revision>73</cp:revision>
  <cp:lastPrinted>2023-06-05T15:25:00Z</cp:lastPrinted>
  <dcterms:created xsi:type="dcterms:W3CDTF">2020-04-18T15:05:00Z</dcterms:created>
  <dcterms:modified xsi:type="dcterms:W3CDTF">2026-04-07T08:13:00Z</dcterms:modified>
</cp:coreProperties>
</file>